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56CCC" w14:textId="239975DE" w:rsidR="00494B27" w:rsidRDefault="00494B27" w:rsidP="00494B27">
      <w:pPr>
        <w:pStyle w:val="CRCoverPage"/>
        <w:tabs>
          <w:tab w:val="right" w:pos="9639"/>
        </w:tabs>
        <w:spacing w:after="0"/>
        <w:rPr>
          <w:b/>
          <w:i/>
          <w:noProof/>
          <w:sz w:val="28"/>
        </w:rPr>
      </w:pPr>
      <w:r>
        <w:rPr>
          <w:b/>
          <w:noProof/>
          <w:sz w:val="24"/>
        </w:rPr>
        <w:t>3GPP TSG-RAN WG2 Meeting #99bis</w:t>
      </w:r>
      <w:r>
        <w:rPr>
          <w:b/>
          <w:i/>
          <w:noProof/>
          <w:sz w:val="24"/>
        </w:rPr>
        <w:t xml:space="preserve"> </w:t>
      </w:r>
      <w:r>
        <w:rPr>
          <w:b/>
          <w:i/>
          <w:noProof/>
          <w:sz w:val="28"/>
        </w:rPr>
        <w:tab/>
      </w:r>
      <w:r w:rsidRPr="005705D0">
        <w:rPr>
          <w:b/>
          <w:noProof/>
          <w:sz w:val="28"/>
        </w:rPr>
        <w:t>R2-17</w:t>
      </w:r>
      <w:r w:rsidR="006C57DD">
        <w:rPr>
          <w:b/>
          <w:noProof/>
          <w:sz w:val="28"/>
        </w:rPr>
        <w:t>1</w:t>
      </w:r>
      <w:r w:rsidR="00B734C9">
        <w:rPr>
          <w:b/>
          <w:noProof/>
          <w:sz w:val="28"/>
        </w:rPr>
        <w:t>0890</w:t>
      </w:r>
    </w:p>
    <w:p w14:paraId="3A6B9717" w14:textId="4C90240C" w:rsidR="00494B27" w:rsidRPr="001C5A9C" w:rsidRDefault="00494B27" w:rsidP="00494B27">
      <w:pPr>
        <w:pStyle w:val="CRCoverPage"/>
        <w:tabs>
          <w:tab w:val="right" w:pos="9360"/>
        </w:tabs>
        <w:outlineLvl w:val="0"/>
        <w:rPr>
          <w:b/>
          <w:bCs/>
          <w:i/>
          <w:sz w:val="24"/>
          <w:szCs w:val="24"/>
        </w:rPr>
      </w:pPr>
      <w:r>
        <w:rPr>
          <w:b/>
          <w:noProof/>
          <w:sz w:val="24"/>
        </w:rPr>
        <w:t>Prague, Czechia, 9-13 Oct 2017</w:t>
      </w:r>
      <w:r>
        <w:rPr>
          <w:b/>
          <w:bCs/>
          <w:sz w:val="24"/>
          <w:szCs w:val="24"/>
        </w:rPr>
        <w:tab/>
      </w:r>
    </w:p>
    <w:p w14:paraId="4283AD23" w14:textId="77777777" w:rsidR="00DB74FF" w:rsidRDefault="00DB74FF" w:rsidP="00317899">
      <w:pPr>
        <w:tabs>
          <w:tab w:val="right" w:pos="10000"/>
        </w:tabs>
        <w:spacing w:after="0"/>
        <w:rPr>
          <w:rFonts w:ascii="Arial" w:hAnsi="Arial" w:cs="Arial"/>
          <w:b/>
          <w:sz w:val="24"/>
          <w:szCs w:val="24"/>
          <w:lang w:val="en-US"/>
        </w:rPr>
      </w:pPr>
    </w:p>
    <w:p w14:paraId="5095F84C" w14:textId="0F4DE710"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0" w:name="Source"/>
      <w:bookmarkEnd w:id="0"/>
      <w:r w:rsidR="00494B27">
        <w:rPr>
          <w:rFonts w:ascii="Arial" w:hAnsi="Arial"/>
          <w:sz w:val="24"/>
          <w:lang w:val="en-US"/>
        </w:rPr>
        <w:t>9.4.4</w:t>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28734634" w:rsidR="00A320E8" w:rsidRDefault="00317899" w:rsidP="00A320E8">
      <w:pPr>
        <w:ind w:left="1988" w:hanging="1988"/>
        <w:rPr>
          <w:rFonts w:ascii="Arial" w:hAnsi="Arial"/>
          <w:sz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B00B2F">
        <w:rPr>
          <w:rFonts w:ascii="Arial" w:hAnsi="Arial"/>
          <w:sz w:val="24"/>
          <w:lang w:val="en-US"/>
        </w:rPr>
        <w:t xml:space="preserve">Handover </w:t>
      </w:r>
      <w:r w:rsidR="007E6E75">
        <w:rPr>
          <w:rFonts w:ascii="Arial" w:hAnsi="Arial"/>
          <w:sz w:val="24"/>
          <w:lang w:val="en-US"/>
        </w:rPr>
        <w:t xml:space="preserve">performance </w:t>
      </w:r>
      <w:r w:rsidR="00B00B2F">
        <w:rPr>
          <w:rFonts w:ascii="Arial" w:hAnsi="Arial"/>
          <w:sz w:val="24"/>
          <w:lang w:val="en-US"/>
        </w:rPr>
        <w:t>results for aerial ve</w:t>
      </w:r>
      <w:r w:rsidR="00EF3BA8" w:rsidRPr="00EF3BA8">
        <w:rPr>
          <w:rFonts w:ascii="Arial" w:hAnsi="Arial"/>
          <w:sz w:val="24"/>
          <w:lang w:val="en-US"/>
        </w:rPr>
        <w:t>hicles</w:t>
      </w:r>
    </w:p>
    <w:p w14:paraId="76B0159F" w14:textId="00C49744" w:rsidR="00317899" w:rsidRDefault="00317899" w:rsidP="00A320E8">
      <w:pPr>
        <w:ind w:left="1988" w:hanging="1988"/>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10EBB4C4" w14:textId="77777777" w:rsidR="004E585F" w:rsidRPr="00E21680" w:rsidRDefault="004E585F" w:rsidP="00A320E8">
      <w:pPr>
        <w:ind w:left="1988" w:hanging="1988"/>
      </w:pPr>
    </w:p>
    <w:p w14:paraId="5C3A5CD6" w14:textId="66099049" w:rsidR="00410201" w:rsidRDefault="00317899" w:rsidP="004721D9">
      <w:pPr>
        <w:pStyle w:val="Heading1"/>
      </w:pPr>
      <w:r>
        <w:t>Introduction</w:t>
      </w:r>
    </w:p>
    <w:p w14:paraId="02541A50" w14:textId="66E08B0C" w:rsidR="007557B8" w:rsidRPr="008A795B" w:rsidRDefault="00494B27" w:rsidP="00ED4A2B">
      <w:pPr>
        <w:jc w:val="both"/>
      </w:pPr>
      <w:r w:rsidRPr="008A795B">
        <w:t>Cellular connectivity will be key for coordinated operation and control of Unmanned Aerial Vehicles</w:t>
      </w:r>
      <w:r w:rsidR="008961C8" w:rsidRPr="008A795B">
        <w:t xml:space="preserve"> (UAVs)</w:t>
      </w:r>
      <w:r w:rsidRPr="008A795B">
        <w:t xml:space="preserve">, more commonly referred to as “Drones”, enabling a growing set of use cases within and beyond the drone operator’s visual line of sight. </w:t>
      </w:r>
      <w:r w:rsidR="007557B8" w:rsidRPr="008A795B">
        <w:t xml:space="preserve">RAN#75 approved a study item on Enhanced Support for Aerial Vehicles [1]. </w:t>
      </w:r>
    </w:p>
    <w:p w14:paraId="6B99C626" w14:textId="13431800" w:rsidR="007557B8" w:rsidRPr="008A795B" w:rsidRDefault="007557B8" w:rsidP="00ED4A2B">
      <w:pPr>
        <w:jc w:val="both"/>
      </w:pPr>
      <w:r w:rsidRPr="008A795B">
        <w:t>One of the objectives of the study is [1]:</w:t>
      </w:r>
    </w:p>
    <w:p w14:paraId="53BD618B" w14:textId="77777777" w:rsidR="007557B8" w:rsidRPr="008A795B" w:rsidRDefault="007557B8" w:rsidP="007557B8">
      <w:pPr>
        <w:numPr>
          <w:ilvl w:val="0"/>
          <w:numId w:val="16"/>
        </w:numPr>
        <w:spacing w:after="0"/>
        <w:rPr>
          <w:bCs/>
          <w:i/>
        </w:rPr>
      </w:pPr>
      <w:r w:rsidRPr="008A795B">
        <w:rPr>
          <w:bCs/>
          <w:i/>
        </w:rPr>
        <w:t>Handover: Identify if enhancements in terms of cell selection and handover efficiency as well as robustness in handover signalling can be achieved. [RAN2, RAN1]</w:t>
      </w:r>
    </w:p>
    <w:p w14:paraId="65FC4DF7" w14:textId="77777777" w:rsidR="007557B8" w:rsidRPr="008A795B" w:rsidRDefault="007557B8" w:rsidP="00ED4A2B">
      <w:pPr>
        <w:jc w:val="both"/>
      </w:pPr>
    </w:p>
    <w:p w14:paraId="46BDCA97" w14:textId="052F8FB6" w:rsidR="003A17AE" w:rsidRPr="008A795B" w:rsidRDefault="005B5005" w:rsidP="00ED4A2B">
      <w:pPr>
        <w:jc w:val="both"/>
      </w:pPr>
      <w:r w:rsidRPr="008A795B">
        <w:t xml:space="preserve">In this contribution, we </w:t>
      </w:r>
      <w:r w:rsidR="0006339B" w:rsidRPr="008A795B">
        <w:t xml:space="preserve">present </w:t>
      </w:r>
      <w:r w:rsidR="00494B27" w:rsidRPr="008A795B">
        <w:t>some</w:t>
      </w:r>
      <w:r w:rsidR="0006339B" w:rsidRPr="008A795B">
        <w:t xml:space="preserve"> results </w:t>
      </w:r>
      <w:r w:rsidR="00B00B2F" w:rsidRPr="008A795B">
        <w:t xml:space="preserve">on </w:t>
      </w:r>
      <w:r w:rsidR="0017207A" w:rsidRPr="008A795B">
        <w:t>mobility</w:t>
      </w:r>
      <w:r w:rsidR="00B00B2F" w:rsidRPr="008A795B">
        <w:t xml:space="preserve"> </w:t>
      </w:r>
      <w:r w:rsidR="0006339B" w:rsidRPr="008A795B">
        <w:t xml:space="preserve">performance </w:t>
      </w:r>
      <w:r w:rsidR="0052496D" w:rsidRPr="008A795B">
        <w:t xml:space="preserve">of </w:t>
      </w:r>
      <w:r w:rsidR="00A320E8" w:rsidRPr="008A795B">
        <w:t>aerial vehicles</w:t>
      </w:r>
      <w:r w:rsidR="00494B27" w:rsidRPr="008A795B">
        <w:t xml:space="preserve"> taking into account the latest RAN2 assumptions</w:t>
      </w:r>
      <w:r w:rsidR="00AE3869" w:rsidRPr="008A795B">
        <w:t>.</w:t>
      </w:r>
    </w:p>
    <w:p w14:paraId="1D3A0347" w14:textId="77777777" w:rsidR="00ED4A2B" w:rsidRDefault="00ED4A2B" w:rsidP="00ED4A2B">
      <w:pPr>
        <w:jc w:val="both"/>
      </w:pPr>
    </w:p>
    <w:p w14:paraId="6D10FA08" w14:textId="3202AD30" w:rsidR="008B368F" w:rsidRDefault="00EE1DB2" w:rsidP="004721D9">
      <w:pPr>
        <w:pStyle w:val="Heading1"/>
      </w:pPr>
      <w:r>
        <w:t>Mobility Analysis</w:t>
      </w:r>
    </w:p>
    <w:p w14:paraId="7CB74E32" w14:textId="6CB0EE05" w:rsidR="00EE1DB2" w:rsidRPr="008A795B" w:rsidRDefault="00EE1DB2" w:rsidP="00EF7957">
      <w:pPr>
        <w:pStyle w:val="B-Body"/>
        <w:ind w:left="0"/>
        <w:jc w:val="both"/>
        <w:rPr>
          <w:sz w:val="20"/>
        </w:rPr>
      </w:pPr>
      <w:r w:rsidRPr="008A795B">
        <w:rPr>
          <w:sz w:val="20"/>
        </w:rPr>
        <w:t>Mobility simulations are performed to analyze handover performance and</w:t>
      </w:r>
      <w:r w:rsidR="00EF7957" w:rsidRPr="008A795B">
        <w:rPr>
          <w:sz w:val="20"/>
        </w:rPr>
        <w:t xml:space="preserve"> to</w:t>
      </w:r>
      <w:r w:rsidRPr="008A795B">
        <w:rPr>
          <w:sz w:val="20"/>
        </w:rPr>
        <w:t xml:space="preserve"> </w:t>
      </w:r>
      <w:r w:rsidR="00EF7957" w:rsidRPr="008A795B">
        <w:rPr>
          <w:sz w:val="20"/>
        </w:rPr>
        <w:t>compare</w:t>
      </w:r>
      <w:r w:rsidRPr="008A795B">
        <w:rPr>
          <w:sz w:val="20"/>
        </w:rPr>
        <w:t xml:space="preserve"> handover and link reliability between ground</w:t>
      </w:r>
      <w:r w:rsidR="008961C8" w:rsidRPr="008A795B">
        <w:rPr>
          <w:sz w:val="20"/>
        </w:rPr>
        <w:t>/terrestrial UEs</w:t>
      </w:r>
      <w:r w:rsidRPr="008A795B">
        <w:rPr>
          <w:sz w:val="20"/>
        </w:rPr>
        <w:t xml:space="preserve"> and airborne </w:t>
      </w:r>
      <w:r w:rsidR="008961C8" w:rsidRPr="008A795B">
        <w:rPr>
          <w:sz w:val="20"/>
        </w:rPr>
        <w:t>UAVs</w:t>
      </w:r>
      <w:r w:rsidRPr="008A795B">
        <w:rPr>
          <w:sz w:val="20"/>
        </w:rPr>
        <w:t xml:space="preserve">. </w:t>
      </w:r>
    </w:p>
    <w:p w14:paraId="66381643" w14:textId="23A34DD8" w:rsidR="00B61EB1" w:rsidRPr="00B61EB1" w:rsidRDefault="00B61EB1" w:rsidP="00B61EB1">
      <w:pPr>
        <w:pStyle w:val="Heading2"/>
        <w:rPr>
          <w:i w:val="0"/>
        </w:rPr>
      </w:pPr>
      <w:r w:rsidRPr="00B61EB1">
        <w:rPr>
          <w:i w:val="0"/>
        </w:rPr>
        <w:t>Simulation Setup</w:t>
      </w:r>
    </w:p>
    <w:p w14:paraId="046F2BA6" w14:textId="4281207E" w:rsidR="00717125" w:rsidRPr="008A795B" w:rsidRDefault="00657728" w:rsidP="00EF7957">
      <w:pPr>
        <w:pStyle w:val="B-Body"/>
        <w:ind w:left="0"/>
        <w:jc w:val="both"/>
        <w:rPr>
          <w:sz w:val="20"/>
        </w:rPr>
      </w:pPr>
      <w:r w:rsidRPr="008A795B">
        <w:rPr>
          <w:sz w:val="20"/>
        </w:rPr>
        <w:t>For the mobility study, e</w:t>
      </w:r>
      <w:r w:rsidR="00EE1DB2" w:rsidRPr="008A795B">
        <w:rPr>
          <w:sz w:val="20"/>
        </w:rPr>
        <w:t xml:space="preserve">ach </w:t>
      </w:r>
      <w:r w:rsidR="00B337A2" w:rsidRPr="008A795B">
        <w:rPr>
          <w:sz w:val="20"/>
        </w:rPr>
        <w:t xml:space="preserve">modeled </w:t>
      </w:r>
      <w:r w:rsidR="00EE1DB2" w:rsidRPr="008A795B">
        <w:rPr>
          <w:sz w:val="20"/>
        </w:rPr>
        <w:t>UE starts at a randomly selec</w:t>
      </w:r>
      <w:bookmarkStart w:id="2" w:name="_GoBack"/>
      <w:bookmarkEnd w:id="2"/>
      <w:r w:rsidR="00EE1DB2" w:rsidRPr="008A795B">
        <w:rPr>
          <w:sz w:val="20"/>
        </w:rPr>
        <w:t>ted</w:t>
      </w:r>
      <w:r w:rsidR="001949CF" w:rsidRPr="008A795B">
        <w:rPr>
          <w:sz w:val="20"/>
        </w:rPr>
        <w:t xml:space="preserve"> location in the network, and a</w:t>
      </w:r>
      <w:r w:rsidR="00EE1DB2" w:rsidRPr="008A795B">
        <w:rPr>
          <w:sz w:val="20"/>
        </w:rPr>
        <w:t xml:space="preserve"> bearing angle is selected randomly and uniformly. The UE then moves at the assigned speed in a straight line for </w:t>
      </w:r>
      <w:r w:rsidR="001949CF" w:rsidRPr="008A795B">
        <w:rPr>
          <w:sz w:val="20"/>
        </w:rPr>
        <w:t>the duration of the simulation with wrap around upon hitting the simulation boundary.</w:t>
      </w:r>
    </w:p>
    <w:p w14:paraId="405A1C6B" w14:textId="17E2EA6B" w:rsidR="00C2103E" w:rsidRPr="008A795B" w:rsidRDefault="00F4061A" w:rsidP="00D81AF0">
      <w:pPr>
        <w:pStyle w:val="B-Body"/>
        <w:ind w:left="0"/>
        <w:rPr>
          <w:sz w:val="20"/>
        </w:rPr>
      </w:pPr>
      <w:r w:rsidRPr="008A795B">
        <w:rPr>
          <w:color w:val="000000" w:themeColor="text1"/>
          <w:sz w:val="20"/>
        </w:rPr>
        <w:t xml:space="preserve">The following table </w:t>
      </w:r>
      <w:r w:rsidRPr="008A795B">
        <w:rPr>
          <w:sz w:val="20"/>
        </w:rPr>
        <w:t>shows</w:t>
      </w:r>
      <w:r w:rsidR="00EE1DB2" w:rsidRPr="008A795B">
        <w:rPr>
          <w:sz w:val="20"/>
        </w:rPr>
        <w:t xml:space="preserve"> the parameters used to model the handover for these simulations.</w:t>
      </w:r>
    </w:p>
    <w:tbl>
      <w:tblPr>
        <w:tblW w:w="90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600" w:firstRow="0" w:lastRow="0" w:firstColumn="0" w:lastColumn="0" w:noHBand="1" w:noVBand="1"/>
      </w:tblPr>
      <w:tblGrid>
        <w:gridCol w:w="2335"/>
        <w:gridCol w:w="3960"/>
        <w:gridCol w:w="2790"/>
      </w:tblGrid>
      <w:tr w:rsidR="00F4061A" w:rsidRPr="00F4061A" w14:paraId="3B6731ED" w14:textId="77777777" w:rsidTr="00E32091">
        <w:trPr>
          <w:jc w:val="center"/>
        </w:trPr>
        <w:tc>
          <w:tcPr>
            <w:tcW w:w="2335" w:type="dxa"/>
            <w:shd w:val="clear" w:color="auto" w:fill="auto"/>
            <w:tcMar>
              <w:top w:w="72" w:type="dxa"/>
              <w:left w:w="144" w:type="dxa"/>
              <w:bottom w:w="72" w:type="dxa"/>
              <w:right w:w="144" w:type="dxa"/>
            </w:tcMar>
          </w:tcPr>
          <w:p w14:paraId="5B800728" w14:textId="0DDC84D0" w:rsidR="00F4061A" w:rsidRPr="00F4061A" w:rsidRDefault="00E32091" w:rsidP="00E32091">
            <w:pPr>
              <w:pStyle w:val="TB-TableBody"/>
              <w:keepNext/>
              <w:keepLines/>
              <w:spacing w:before="0" w:after="0" w:line="276" w:lineRule="auto"/>
              <w:rPr>
                <w:rFonts w:ascii="Times New Roman" w:hAnsi="Times New Roman" w:cs="Times New Roman"/>
                <w:b/>
                <w:sz w:val="20"/>
              </w:rPr>
            </w:pPr>
            <w:r>
              <w:lastRenderedPageBreak/>
              <w:br w:type="page"/>
            </w:r>
            <w:r>
              <w:rPr>
                <w:rFonts w:ascii="Times New Roman" w:hAnsi="Times New Roman" w:cs="Times New Roman"/>
                <w:b/>
                <w:sz w:val="20"/>
              </w:rPr>
              <w:t>P</w:t>
            </w:r>
            <w:r w:rsidR="00F4061A" w:rsidRPr="00F4061A">
              <w:rPr>
                <w:rFonts w:ascii="Times New Roman" w:hAnsi="Times New Roman" w:cs="Times New Roman"/>
                <w:b/>
                <w:sz w:val="20"/>
              </w:rPr>
              <w:t>arameter</w:t>
            </w:r>
          </w:p>
        </w:tc>
        <w:tc>
          <w:tcPr>
            <w:tcW w:w="3960" w:type="dxa"/>
          </w:tcPr>
          <w:p w14:paraId="599F7221" w14:textId="1A6DAE19" w:rsidR="00F4061A" w:rsidRPr="00F4061A" w:rsidRDefault="00F4061A" w:rsidP="00E32091">
            <w:pPr>
              <w:pStyle w:val="TB-TableBody"/>
              <w:keepNext/>
              <w:keepLines/>
              <w:spacing w:before="0" w:after="0" w:line="276" w:lineRule="auto"/>
              <w:rPr>
                <w:rFonts w:ascii="Times New Roman" w:hAnsi="Times New Roman" w:cs="Times New Roman"/>
                <w:b/>
                <w:sz w:val="20"/>
              </w:rPr>
            </w:pPr>
            <w:r w:rsidRPr="00F4061A">
              <w:rPr>
                <w:rFonts w:ascii="Times New Roman" w:hAnsi="Times New Roman" w:cs="Times New Roman"/>
                <w:b/>
                <w:sz w:val="20"/>
              </w:rPr>
              <w:t>Description</w:t>
            </w:r>
            <w:r>
              <w:rPr>
                <w:rFonts w:ascii="Times New Roman" w:hAnsi="Times New Roman" w:cs="Times New Roman"/>
                <w:b/>
                <w:sz w:val="20"/>
              </w:rPr>
              <w:t>/Note</w:t>
            </w:r>
          </w:p>
        </w:tc>
        <w:tc>
          <w:tcPr>
            <w:tcW w:w="2790" w:type="dxa"/>
          </w:tcPr>
          <w:p w14:paraId="54EA4BB5" w14:textId="77777777" w:rsidR="00F4061A" w:rsidRPr="00F4061A" w:rsidRDefault="00F4061A" w:rsidP="00E32091">
            <w:pPr>
              <w:pStyle w:val="TU-TableBullet"/>
              <w:numPr>
                <w:ilvl w:val="0"/>
                <w:numId w:val="0"/>
              </w:numPr>
              <w:spacing w:before="0" w:after="0" w:line="276" w:lineRule="auto"/>
              <w:ind w:left="216" w:hanging="216"/>
              <w:rPr>
                <w:rFonts w:ascii="Times New Roman" w:hAnsi="Times New Roman" w:cs="Times New Roman"/>
                <w:b/>
                <w:sz w:val="20"/>
              </w:rPr>
            </w:pPr>
            <w:r w:rsidRPr="00F4061A">
              <w:rPr>
                <w:rFonts w:ascii="Times New Roman" w:hAnsi="Times New Roman" w:cs="Times New Roman"/>
                <w:b/>
                <w:sz w:val="20"/>
              </w:rPr>
              <w:t>Value</w:t>
            </w:r>
          </w:p>
        </w:tc>
      </w:tr>
      <w:tr w:rsidR="00860D27" w:rsidRPr="00052EA3" w14:paraId="27BE4B4F" w14:textId="77777777" w:rsidTr="00E32091">
        <w:trPr>
          <w:jc w:val="center"/>
        </w:trPr>
        <w:tc>
          <w:tcPr>
            <w:tcW w:w="2335" w:type="dxa"/>
            <w:tcBorders>
              <w:top w:val="single" w:sz="12" w:space="0" w:color="auto"/>
            </w:tcBorders>
            <w:shd w:val="clear" w:color="auto" w:fill="auto"/>
            <w:tcMar>
              <w:top w:w="72" w:type="dxa"/>
              <w:left w:w="144" w:type="dxa"/>
              <w:bottom w:w="72" w:type="dxa"/>
              <w:right w:w="144" w:type="dxa"/>
            </w:tcMar>
          </w:tcPr>
          <w:p w14:paraId="6E6DAC63" w14:textId="77777777" w:rsidR="00860D27" w:rsidRPr="00052EA3" w:rsidRDefault="00860D27" w:rsidP="00E32091">
            <w:pPr>
              <w:pStyle w:val="TB-TableBody"/>
              <w:keepNext/>
              <w:keepLines/>
              <w:spacing w:before="0" w:after="0" w:line="276" w:lineRule="auto"/>
              <w:rPr>
                <w:rFonts w:ascii="Times New Roman" w:hAnsi="Times New Roman" w:cs="Times New Roman"/>
                <w:sz w:val="20"/>
              </w:rPr>
            </w:pPr>
            <w:r>
              <w:rPr>
                <w:rFonts w:ascii="Times New Roman" w:hAnsi="Times New Roman" w:cs="Times New Roman"/>
                <w:sz w:val="20"/>
              </w:rPr>
              <w:t>Cell layout and scenario</w:t>
            </w:r>
          </w:p>
        </w:tc>
        <w:tc>
          <w:tcPr>
            <w:tcW w:w="3960" w:type="dxa"/>
            <w:tcBorders>
              <w:top w:val="single" w:sz="12" w:space="0" w:color="auto"/>
            </w:tcBorders>
          </w:tcPr>
          <w:p w14:paraId="007B5731" w14:textId="6AA7DB41" w:rsidR="00860D27" w:rsidRPr="00052EA3" w:rsidRDefault="00F4061A" w:rsidP="00E32091">
            <w:pPr>
              <w:pStyle w:val="TB-TableBody"/>
              <w:keepNext/>
              <w:keepLines/>
              <w:spacing w:before="0" w:after="0" w:line="276" w:lineRule="auto"/>
              <w:rPr>
                <w:rFonts w:ascii="Times New Roman" w:hAnsi="Times New Roman" w:cs="Times New Roman"/>
                <w:sz w:val="20"/>
              </w:rPr>
            </w:pPr>
            <w:r>
              <w:rPr>
                <w:rFonts w:ascii="Times New Roman" w:hAnsi="Times New Roman" w:cs="Times New Roman"/>
                <w:sz w:val="20"/>
              </w:rPr>
              <w:t>Same as RAN1</w:t>
            </w:r>
          </w:p>
        </w:tc>
        <w:tc>
          <w:tcPr>
            <w:tcW w:w="2790" w:type="dxa"/>
            <w:tcBorders>
              <w:top w:val="single" w:sz="12" w:space="0" w:color="auto"/>
            </w:tcBorders>
          </w:tcPr>
          <w:p w14:paraId="15B96A9B" w14:textId="77777777" w:rsidR="00860D27" w:rsidRDefault="00860D27" w:rsidP="00E32091">
            <w:pPr>
              <w:pStyle w:val="TB-TableBody"/>
              <w:keepNext/>
              <w:keepLines/>
              <w:spacing w:before="0" w:after="0" w:line="276" w:lineRule="auto"/>
              <w:rPr>
                <w:rFonts w:ascii="Times New Roman" w:hAnsi="Times New Roman" w:cs="Times New Roman"/>
                <w:sz w:val="20"/>
              </w:rPr>
            </w:pPr>
            <w:r w:rsidRPr="00DC015E">
              <w:rPr>
                <w:rFonts w:ascii="Times New Roman" w:hAnsi="Times New Roman" w:cs="Times New Roman"/>
                <w:sz w:val="20"/>
              </w:rPr>
              <w:t xml:space="preserve">Hexagonal grid, 19 macro sites, 3 sectors per site </w:t>
            </w:r>
          </w:p>
          <w:p w14:paraId="16CCA4C8" w14:textId="44C373F2" w:rsidR="00860D27" w:rsidRDefault="00860D27" w:rsidP="00E32091">
            <w:pPr>
              <w:pStyle w:val="TB-TableBody"/>
              <w:keepNext/>
              <w:keepLines/>
              <w:spacing w:before="0" w:after="0" w:line="276" w:lineRule="auto"/>
              <w:rPr>
                <w:rFonts w:ascii="Times New Roman" w:hAnsi="Times New Roman" w:cs="Times New Roman"/>
                <w:sz w:val="20"/>
              </w:rPr>
            </w:pPr>
            <w:r w:rsidRPr="00DC015E">
              <w:rPr>
                <w:rFonts w:ascii="Times New Roman" w:hAnsi="Times New Roman" w:cs="Times New Roman"/>
                <w:sz w:val="20"/>
              </w:rPr>
              <w:t>ISD = 500m</w:t>
            </w:r>
            <w:r>
              <w:rPr>
                <w:rFonts w:ascii="Times New Roman" w:hAnsi="Times New Roman" w:cs="Times New Roman"/>
                <w:sz w:val="20"/>
              </w:rPr>
              <w:t xml:space="preserve"> for UMa</w:t>
            </w:r>
          </w:p>
          <w:p w14:paraId="43DA460D" w14:textId="796D2315" w:rsidR="00860D27" w:rsidRPr="00052EA3" w:rsidRDefault="00860D27" w:rsidP="00E32091">
            <w:pPr>
              <w:pStyle w:val="TB-TableBody"/>
              <w:keepNext/>
              <w:keepLines/>
              <w:spacing w:before="0" w:after="0" w:line="276" w:lineRule="auto"/>
              <w:rPr>
                <w:rFonts w:ascii="Times New Roman" w:eastAsia="MS Mincho" w:hAnsi="Times New Roman" w:cs="Times New Roman"/>
                <w:sz w:val="20"/>
                <w:lang w:eastAsia="ja-JP"/>
              </w:rPr>
            </w:pPr>
            <w:r>
              <w:rPr>
                <w:rFonts w:ascii="Times New Roman" w:eastAsia="MS Mincho" w:hAnsi="Times New Roman" w:cs="Times New Roman"/>
                <w:sz w:val="20"/>
                <w:lang w:eastAsia="ja-JP"/>
              </w:rPr>
              <w:t>ISD = 1732m for RMa</w:t>
            </w:r>
          </w:p>
        </w:tc>
      </w:tr>
      <w:tr w:rsidR="00EB094F" w:rsidRPr="00052EA3" w14:paraId="69C6806E" w14:textId="77777777" w:rsidTr="00E32091">
        <w:trPr>
          <w:jc w:val="center"/>
        </w:trPr>
        <w:tc>
          <w:tcPr>
            <w:tcW w:w="2335" w:type="dxa"/>
            <w:shd w:val="clear" w:color="auto" w:fill="auto"/>
            <w:tcMar>
              <w:top w:w="72" w:type="dxa"/>
              <w:left w:w="144" w:type="dxa"/>
              <w:bottom w:w="72" w:type="dxa"/>
              <w:right w:w="144" w:type="dxa"/>
            </w:tcMar>
          </w:tcPr>
          <w:p w14:paraId="563BC229" w14:textId="482BE0CE" w:rsidR="00EB094F" w:rsidRPr="00EB094F" w:rsidRDefault="00EB094F" w:rsidP="00E32091">
            <w:pPr>
              <w:pStyle w:val="TB-TableBody"/>
              <w:keepNext/>
              <w:keepLines/>
              <w:spacing w:before="0" w:after="0" w:line="276" w:lineRule="auto"/>
              <w:rPr>
                <w:rFonts w:ascii="Times New Roman" w:hAnsi="Times New Roman" w:cs="Times New Roman"/>
                <w:sz w:val="20"/>
              </w:rPr>
            </w:pPr>
            <w:r w:rsidRPr="00EB094F">
              <w:rPr>
                <w:rFonts w:ascii="Times New Roman" w:hAnsi="Times New Roman" w:cs="Times New Roman"/>
                <w:sz w:val="20"/>
              </w:rPr>
              <w:t>Band/bandwidth</w:t>
            </w:r>
          </w:p>
        </w:tc>
        <w:tc>
          <w:tcPr>
            <w:tcW w:w="3960" w:type="dxa"/>
          </w:tcPr>
          <w:p w14:paraId="4D9471EA" w14:textId="3FB6DDAC" w:rsidR="00EB094F" w:rsidRPr="00052EA3" w:rsidRDefault="00F4061A" w:rsidP="00E32091">
            <w:pPr>
              <w:pStyle w:val="TB-TableBody"/>
              <w:keepNext/>
              <w:keepLines/>
              <w:spacing w:before="0" w:after="0" w:line="276" w:lineRule="auto"/>
              <w:rPr>
                <w:rFonts w:ascii="Times New Roman" w:hAnsi="Times New Roman" w:cs="Times New Roman"/>
                <w:sz w:val="20"/>
              </w:rPr>
            </w:pPr>
            <w:r>
              <w:rPr>
                <w:rFonts w:ascii="Times New Roman" w:hAnsi="Times New Roman" w:cs="Times New Roman"/>
                <w:sz w:val="20"/>
              </w:rPr>
              <w:t>Same as RAN1</w:t>
            </w:r>
          </w:p>
        </w:tc>
        <w:tc>
          <w:tcPr>
            <w:tcW w:w="2790" w:type="dxa"/>
          </w:tcPr>
          <w:p w14:paraId="2D42FAA2" w14:textId="0EC84981" w:rsidR="00EB094F" w:rsidRDefault="00FB6615" w:rsidP="00E32091">
            <w:pPr>
              <w:pStyle w:val="TU-TableBullet"/>
              <w:numPr>
                <w:ilvl w:val="0"/>
                <w:numId w:val="0"/>
              </w:numPr>
              <w:spacing w:before="0" w:after="0" w:line="276" w:lineRule="auto"/>
              <w:ind w:left="216" w:hanging="216"/>
              <w:rPr>
                <w:rFonts w:ascii="Times New Roman" w:hAnsi="Times New Roman" w:cs="Times New Roman"/>
                <w:sz w:val="20"/>
              </w:rPr>
            </w:pPr>
            <w:r>
              <w:rPr>
                <w:rFonts w:ascii="Times New Roman" w:hAnsi="Times New Roman" w:cs="Times New Roman"/>
                <w:sz w:val="20"/>
              </w:rPr>
              <w:t>20</w:t>
            </w:r>
            <w:r w:rsidR="00EB094F" w:rsidRPr="00EA1460">
              <w:rPr>
                <w:rFonts w:ascii="Times New Roman" w:hAnsi="Times New Roman" w:cs="Times New Roman"/>
                <w:sz w:val="20"/>
              </w:rPr>
              <w:t xml:space="preserve">00 MHz band </w:t>
            </w:r>
            <w:r>
              <w:rPr>
                <w:rFonts w:ascii="Times New Roman" w:hAnsi="Times New Roman" w:cs="Times New Roman"/>
                <w:sz w:val="20"/>
              </w:rPr>
              <w:t>for UMa</w:t>
            </w:r>
          </w:p>
          <w:p w14:paraId="2ED497B6" w14:textId="55D4A765" w:rsidR="00FB6615" w:rsidRDefault="00FB6615" w:rsidP="00E32091">
            <w:pPr>
              <w:pStyle w:val="TU-TableBullet"/>
              <w:numPr>
                <w:ilvl w:val="0"/>
                <w:numId w:val="0"/>
              </w:numPr>
              <w:spacing w:before="0" w:after="0" w:line="276" w:lineRule="auto"/>
              <w:ind w:left="216" w:hanging="216"/>
              <w:rPr>
                <w:rFonts w:ascii="Times New Roman" w:hAnsi="Times New Roman" w:cs="Times New Roman"/>
                <w:sz w:val="20"/>
              </w:rPr>
            </w:pPr>
            <w:r>
              <w:rPr>
                <w:rFonts w:ascii="Times New Roman" w:hAnsi="Times New Roman" w:cs="Times New Roman"/>
                <w:sz w:val="20"/>
              </w:rPr>
              <w:t>700 MHz band for RMa</w:t>
            </w:r>
          </w:p>
          <w:p w14:paraId="52E301BD" w14:textId="7D95DFCE" w:rsidR="00EB094F" w:rsidRPr="00052EA3" w:rsidRDefault="00EB094F" w:rsidP="00E32091">
            <w:pPr>
              <w:pStyle w:val="TB-TableBody"/>
              <w:keepNext/>
              <w:keepLines/>
              <w:spacing w:before="0" w:after="0" w:line="276" w:lineRule="auto"/>
              <w:rPr>
                <w:rFonts w:ascii="Times New Roman" w:eastAsia="MS Mincho" w:hAnsi="Times New Roman" w:cs="Times New Roman"/>
                <w:sz w:val="20"/>
                <w:lang w:eastAsia="ja-JP"/>
              </w:rPr>
            </w:pPr>
            <w:r w:rsidRPr="00EA1460">
              <w:rPr>
                <w:rFonts w:ascii="Times New Roman" w:hAnsi="Times New Roman" w:cs="Times New Roman"/>
                <w:sz w:val="20"/>
              </w:rPr>
              <w:t>10 MHz bandwidth</w:t>
            </w:r>
          </w:p>
        </w:tc>
      </w:tr>
      <w:tr w:rsidR="00EB094F" w:rsidRPr="00052EA3" w14:paraId="41443D55" w14:textId="77777777" w:rsidTr="00E32091">
        <w:trPr>
          <w:jc w:val="center"/>
        </w:trPr>
        <w:tc>
          <w:tcPr>
            <w:tcW w:w="2335" w:type="dxa"/>
            <w:shd w:val="clear" w:color="auto" w:fill="auto"/>
            <w:tcMar>
              <w:top w:w="72" w:type="dxa"/>
              <w:left w:w="144" w:type="dxa"/>
              <w:bottom w:w="72" w:type="dxa"/>
              <w:right w:w="144" w:type="dxa"/>
            </w:tcMar>
          </w:tcPr>
          <w:p w14:paraId="4A5BEB1E"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TimeToTrigger</w:t>
            </w:r>
          </w:p>
        </w:tc>
        <w:tc>
          <w:tcPr>
            <w:tcW w:w="3960" w:type="dxa"/>
          </w:tcPr>
          <w:p w14:paraId="4357BA6F"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Time to trigger a measurement report</w:t>
            </w:r>
          </w:p>
        </w:tc>
        <w:tc>
          <w:tcPr>
            <w:tcW w:w="2790" w:type="dxa"/>
          </w:tcPr>
          <w:p w14:paraId="17981AAE" w14:textId="77777777" w:rsidR="00EB094F" w:rsidRPr="00052EA3" w:rsidRDefault="00EB094F" w:rsidP="00E32091">
            <w:pPr>
              <w:pStyle w:val="TB-TableBody"/>
              <w:keepNext/>
              <w:keepLines/>
              <w:spacing w:before="0" w:after="0" w:line="276" w:lineRule="auto"/>
              <w:rPr>
                <w:rFonts w:ascii="Times New Roman" w:eastAsia="MS Mincho" w:hAnsi="Times New Roman" w:cs="Times New Roman"/>
                <w:sz w:val="20"/>
                <w:lang w:eastAsia="ja-JP"/>
              </w:rPr>
            </w:pPr>
            <w:r w:rsidRPr="00052EA3">
              <w:rPr>
                <w:rFonts w:ascii="Times New Roman" w:eastAsia="MS Mincho" w:hAnsi="Times New Roman" w:cs="Times New Roman"/>
                <w:sz w:val="20"/>
                <w:lang w:eastAsia="ja-JP"/>
              </w:rPr>
              <w:t>160 ms</w:t>
            </w:r>
          </w:p>
        </w:tc>
      </w:tr>
      <w:tr w:rsidR="00EB094F" w:rsidRPr="00052EA3" w14:paraId="64CC6F22" w14:textId="77777777" w:rsidTr="00E32091">
        <w:trPr>
          <w:jc w:val="center"/>
        </w:trPr>
        <w:tc>
          <w:tcPr>
            <w:tcW w:w="2335" w:type="dxa"/>
            <w:shd w:val="clear" w:color="auto" w:fill="auto"/>
            <w:tcMar>
              <w:top w:w="72" w:type="dxa"/>
              <w:left w:w="144" w:type="dxa"/>
              <w:bottom w:w="72" w:type="dxa"/>
              <w:right w:w="144" w:type="dxa"/>
            </w:tcMar>
          </w:tcPr>
          <w:p w14:paraId="71F1C197"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A3Offset</w:t>
            </w:r>
          </w:p>
        </w:tc>
        <w:tc>
          <w:tcPr>
            <w:tcW w:w="3960" w:type="dxa"/>
          </w:tcPr>
          <w:p w14:paraId="629CA448"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Offset between signal strength of serving and neighboring cells</w:t>
            </w:r>
            <w:r w:rsidRPr="00052EA3">
              <w:rPr>
                <w:rFonts w:ascii="Times New Roman" w:hAnsi="Times New Roman" w:cs="Times New Roman"/>
                <w:sz w:val="20"/>
              </w:rPr>
              <w:tab/>
            </w:r>
          </w:p>
        </w:tc>
        <w:tc>
          <w:tcPr>
            <w:tcW w:w="2790" w:type="dxa"/>
          </w:tcPr>
          <w:p w14:paraId="2E5743AF" w14:textId="77777777" w:rsidR="00EB094F" w:rsidRPr="00052EA3" w:rsidRDefault="00EB094F" w:rsidP="00E32091">
            <w:pPr>
              <w:pStyle w:val="TB-TableBody"/>
              <w:keepNext/>
              <w:keepLines/>
              <w:spacing w:before="0" w:after="0" w:line="276" w:lineRule="auto"/>
              <w:rPr>
                <w:rFonts w:ascii="Times New Roman" w:eastAsia="MS Mincho" w:hAnsi="Times New Roman" w:cs="Times New Roman"/>
                <w:sz w:val="20"/>
                <w:lang w:eastAsia="ja-JP"/>
              </w:rPr>
            </w:pPr>
            <w:r w:rsidRPr="00052EA3">
              <w:rPr>
                <w:rFonts w:ascii="Times New Roman" w:eastAsia="MS Mincho" w:hAnsi="Times New Roman" w:cs="Times New Roman"/>
                <w:sz w:val="20"/>
                <w:lang w:eastAsia="ja-JP"/>
              </w:rPr>
              <w:t>2 dB</w:t>
            </w:r>
          </w:p>
        </w:tc>
      </w:tr>
      <w:tr w:rsidR="00EB094F" w:rsidRPr="00052EA3" w14:paraId="3DDCD58F" w14:textId="77777777" w:rsidTr="00E32091">
        <w:trPr>
          <w:jc w:val="center"/>
        </w:trPr>
        <w:tc>
          <w:tcPr>
            <w:tcW w:w="2335" w:type="dxa"/>
            <w:shd w:val="clear" w:color="auto" w:fill="auto"/>
            <w:tcMar>
              <w:top w:w="72" w:type="dxa"/>
              <w:left w:w="144" w:type="dxa"/>
              <w:bottom w:w="72" w:type="dxa"/>
              <w:right w:w="144" w:type="dxa"/>
            </w:tcMar>
          </w:tcPr>
          <w:p w14:paraId="11D04E09"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MeasurementInterval</w:t>
            </w:r>
          </w:p>
        </w:tc>
        <w:tc>
          <w:tcPr>
            <w:tcW w:w="3960" w:type="dxa"/>
          </w:tcPr>
          <w:p w14:paraId="7F4E6B35"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Physical layer measurement interval</w:t>
            </w:r>
          </w:p>
        </w:tc>
        <w:tc>
          <w:tcPr>
            <w:tcW w:w="2790" w:type="dxa"/>
          </w:tcPr>
          <w:p w14:paraId="7E73DC71"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10 ms</w:t>
            </w:r>
          </w:p>
        </w:tc>
      </w:tr>
      <w:tr w:rsidR="00EB094F" w:rsidRPr="00052EA3" w14:paraId="2A06D5ED" w14:textId="77777777" w:rsidTr="00E32091">
        <w:trPr>
          <w:jc w:val="center"/>
        </w:trPr>
        <w:tc>
          <w:tcPr>
            <w:tcW w:w="2335" w:type="dxa"/>
            <w:shd w:val="clear" w:color="auto" w:fill="auto"/>
            <w:tcMar>
              <w:top w:w="72" w:type="dxa"/>
              <w:left w:w="144" w:type="dxa"/>
              <w:bottom w:w="72" w:type="dxa"/>
              <w:right w:w="144" w:type="dxa"/>
            </w:tcMar>
          </w:tcPr>
          <w:p w14:paraId="5BF9A830"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T</w:t>
            </w:r>
            <w:r w:rsidRPr="00052EA3">
              <w:rPr>
                <w:rFonts w:ascii="Times New Roman" w:hAnsi="Times New Roman" w:cs="Times New Roman"/>
                <w:sz w:val="20"/>
                <w:vertAlign w:val="subscript"/>
              </w:rPr>
              <w:t xml:space="preserve">Measurement_Period, Intra </w:t>
            </w:r>
          </w:p>
        </w:tc>
        <w:tc>
          <w:tcPr>
            <w:tcW w:w="3960" w:type="dxa"/>
          </w:tcPr>
          <w:p w14:paraId="13B62018"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L1 filtering time in TS 36.133</w:t>
            </w:r>
          </w:p>
        </w:tc>
        <w:tc>
          <w:tcPr>
            <w:tcW w:w="2790" w:type="dxa"/>
          </w:tcPr>
          <w:p w14:paraId="4CF9E65A"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200 ms</w:t>
            </w:r>
          </w:p>
        </w:tc>
      </w:tr>
      <w:tr w:rsidR="00EB094F" w:rsidRPr="00052EA3" w14:paraId="5703F497" w14:textId="77777777" w:rsidTr="00E32091">
        <w:trPr>
          <w:jc w:val="center"/>
        </w:trPr>
        <w:tc>
          <w:tcPr>
            <w:tcW w:w="2335" w:type="dxa"/>
            <w:shd w:val="clear" w:color="auto" w:fill="auto"/>
            <w:tcMar>
              <w:top w:w="72" w:type="dxa"/>
              <w:left w:w="144" w:type="dxa"/>
              <w:bottom w:w="72" w:type="dxa"/>
              <w:right w:w="144" w:type="dxa"/>
            </w:tcMar>
          </w:tcPr>
          <w:p w14:paraId="6349A6A8"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L3RRMCoefficient</w:t>
            </w:r>
          </w:p>
        </w:tc>
        <w:tc>
          <w:tcPr>
            <w:tcW w:w="3960" w:type="dxa"/>
          </w:tcPr>
          <w:p w14:paraId="1B8B78C3"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Filtering coefficient for layer 3 measurements</w:t>
            </w:r>
          </w:p>
        </w:tc>
        <w:tc>
          <w:tcPr>
            <w:tcW w:w="2790" w:type="dxa"/>
          </w:tcPr>
          <w:p w14:paraId="50A4A2BC"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1</w:t>
            </w:r>
          </w:p>
        </w:tc>
      </w:tr>
      <w:tr w:rsidR="00EB094F" w:rsidRPr="00052EA3" w14:paraId="29120C02" w14:textId="77777777" w:rsidTr="00E32091">
        <w:trPr>
          <w:jc w:val="center"/>
        </w:trPr>
        <w:tc>
          <w:tcPr>
            <w:tcW w:w="2335" w:type="dxa"/>
            <w:shd w:val="clear" w:color="auto" w:fill="auto"/>
            <w:tcMar>
              <w:top w:w="72" w:type="dxa"/>
              <w:left w:w="144" w:type="dxa"/>
              <w:bottom w:w="72" w:type="dxa"/>
              <w:right w:w="144" w:type="dxa"/>
            </w:tcMar>
          </w:tcPr>
          <w:p w14:paraId="4DCB2D15"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Qin</w:t>
            </w:r>
          </w:p>
        </w:tc>
        <w:tc>
          <w:tcPr>
            <w:tcW w:w="3960" w:type="dxa"/>
          </w:tcPr>
          <w:p w14:paraId="068D4B82" w14:textId="77777777" w:rsidR="00EB094F" w:rsidRPr="00052EA3" w:rsidRDefault="00EB094F" w:rsidP="00E32091">
            <w:pPr>
              <w:pStyle w:val="TB-TableBody"/>
              <w:keepNext/>
              <w:keepLines/>
              <w:spacing w:before="0" w:after="0" w:line="276" w:lineRule="auto"/>
              <w:rPr>
                <w:rFonts w:ascii="Times New Roman" w:eastAsia="?? ??" w:hAnsi="Times New Roman" w:cs="Times New Roman"/>
                <w:sz w:val="20"/>
              </w:rPr>
            </w:pPr>
            <w:r w:rsidRPr="00052EA3">
              <w:rPr>
                <w:rFonts w:ascii="Times New Roman" w:hAnsi="Times New Roman" w:cs="Times New Roman"/>
                <w:sz w:val="20"/>
              </w:rPr>
              <w:t>Qin Threshold</w:t>
            </w:r>
          </w:p>
        </w:tc>
        <w:tc>
          <w:tcPr>
            <w:tcW w:w="2790" w:type="dxa"/>
          </w:tcPr>
          <w:p w14:paraId="75967BA3"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-6 dB</w:t>
            </w:r>
          </w:p>
        </w:tc>
      </w:tr>
      <w:tr w:rsidR="00EB094F" w:rsidRPr="00052EA3" w14:paraId="10D4513F" w14:textId="77777777" w:rsidTr="00E32091">
        <w:trPr>
          <w:jc w:val="center"/>
        </w:trPr>
        <w:tc>
          <w:tcPr>
            <w:tcW w:w="2335" w:type="dxa"/>
            <w:shd w:val="clear" w:color="auto" w:fill="auto"/>
            <w:tcMar>
              <w:top w:w="72" w:type="dxa"/>
              <w:left w:w="144" w:type="dxa"/>
              <w:bottom w:w="72" w:type="dxa"/>
              <w:right w:w="144" w:type="dxa"/>
            </w:tcMar>
          </w:tcPr>
          <w:p w14:paraId="346382DE"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Qout</w:t>
            </w:r>
          </w:p>
        </w:tc>
        <w:tc>
          <w:tcPr>
            <w:tcW w:w="3960" w:type="dxa"/>
          </w:tcPr>
          <w:p w14:paraId="68A045D4" w14:textId="77777777" w:rsidR="00EB094F" w:rsidRPr="00052EA3" w:rsidRDefault="00EB094F" w:rsidP="00E32091">
            <w:pPr>
              <w:pStyle w:val="TB-TableBody"/>
              <w:keepNext/>
              <w:keepLines/>
              <w:spacing w:before="0" w:after="0" w:line="276" w:lineRule="auto"/>
              <w:rPr>
                <w:rFonts w:ascii="Times New Roman" w:eastAsia="?? ??" w:hAnsi="Times New Roman" w:cs="Times New Roman"/>
                <w:sz w:val="20"/>
              </w:rPr>
            </w:pPr>
            <w:r w:rsidRPr="00052EA3">
              <w:rPr>
                <w:rFonts w:ascii="Times New Roman" w:eastAsia="?? ??" w:hAnsi="Times New Roman" w:cs="Times New Roman"/>
                <w:sz w:val="20"/>
              </w:rPr>
              <w:t>Qout Threshold</w:t>
            </w:r>
          </w:p>
        </w:tc>
        <w:tc>
          <w:tcPr>
            <w:tcW w:w="2790" w:type="dxa"/>
          </w:tcPr>
          <w:p w14:paraId="67A3C548"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-8 dB</w:t>
            </w:r>
          </w:p>
        </w:tc>
      </w:tr>
      <w:tr w:rsidR="00EB094F" w:rsidRPr="00052EA3" w14:paraId="092355FF" w14:textId="77777777" w:rsidTr="00E32091">
        <w:trPr>
          <w:jc w:val="center"/>
        </w:trPr>
        <w:tc>
          <w:tcPr>
            <w:tcW w:w="2335" w:type="dxa"/>
            <w:shd w:val="clear" w:color="auto" w:fill="auto"/>
            <w:tcMar>
              <w:top w:w="72" w:type="dxa"/>
              <w:left w:w="144" w:type="dxa"/>
              <w:bottom w:w="72" w:type="dxa"/>
              <w:right w:w="144" w:type="dxa"/>
            </w:tcMar>
          </w:tcPr>
          <w:p w14:paraId="3C3D9B8E"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T</w:t>
            </w:r>
            <w:r w:rsidRPr="00052EA3">
              <w:rPr>
                <w:rFonts w:ascii="Times New Roman" w:hAnsi="Times New Roman" w:cs="Times New Roman"/>
                <w:sz w:val="20"/>
                <w:vertAlign w:val="subscript"/>
              </w:rPr>
              <w:t>Evaluate_</w:t>
            </w:r>
            <w:r w:rsidRPr="00052EA3">
              <w:rPr>
                <w:rFonts w:ascii="Times New Roman" w:hAnsi="Times New Roman" w:cs="Times New Roman"/>
                <w:sz w:val="20"/>
              </w:rPr>
              <w:t>Q</w:t>
            </w:r>
            <w:r w:rsidRPr="00052EA3">
              <w:rPr>
                <w:rFonts w:ascii="Times New Roman" w:hAnsi="Times New Roman" w:cs="Times New Roman"/>
                <w:sz w:val="20"/>
                <w:vertAlign w:val="subscript"/>
              </w:rPr>
              <w:t>out</w:t>
            </w:r>
          </w:p>
        </w:tc>
        <w:tc>
          <w:tcPr>
            <w:tcW w:w="3960" w:type="dxa"/>
          </w:tcPr>
          <w:p w14:paraId="22855CDF"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eastAsia="?? ??" w:hAnsi="Times New Roman" w:cs="Times New Roman"/>
                <w:sz w:val="20"/>
              </w:rPr>
              <w:t>Q</w:t>
            </w:r>
            <w:r w:rsidRPr="00052EA3">
              <w:rPr>
                <w:rFonts w:ascii="Times New Roman" w:eastAsia="?? ??" w:hAnsi="Times New Roman" w:cs="Times New Roman"/>
                <w:sz w:val="20"/>
                <w:vertAlign w:val="subscript"/>
              </w:rPr>
              <w:t>out</w:t>
            </w:r>
            <w:r w:rsidRPr="00052EA3">
              <w:rPr>
                <w:rFonts w:ascii="Times New Roman" w:eastAsia="?? ??" w:hAnsi="Times New Roman" w:cs="Times New Roman"/>
                <w:sz w:val="20"/>
              </w:rPr>
              <w:t xml:space="preserve"> evaluation period</w:t>
            </w:r>
          </w:p>
        </w:tc>
        <w:tc>
          <w:tcPr>
            <w:tcW w:w="2790" w:type="dxa"/>
          </w:tcPr>
          <w:p w14:paraId="71489905" w14:textId="77777777" w:rsidR="00EB094F" w:rsidRPr="00052EA3" w:rsidRDefault="00EB094F" w:rsidP="00E32091">
            <w:pPr>
              <w:pStyle w:val="TB-TableBody"/>
              <w:keepNext/>
              <w:keepLines/>
              <w:spacing w:before="0" w:after="0" w:line="276" w:lineRule="auto"/>
              <w:rPr>
                <w:rFonts w:ascii="Times New Roman" w:eastAsia="MS Mincho" w:hAnsi="Times New Roman" w:cs="Times New Roman"/>
                <w:sz w:val="20"/>
                <w:lang w:eastAsia="ja-JP"/>
              </w:rPr>
            </w:pPr>
            <w:r w:rsidRPr="00052EA3">
              <w:rPr>
                <w:rFonts w:ascii="Times New Roman" w:hAnsi="Times New Roman" w:cs="Times New Roman"/>
                <w:sz w:val="20"/>
              </w:rPr>
              <w:t>L1 samples filtered linearly over a sliding window of 200 ms</w:t>
            </w:r>
          </w:p>
        </w:tc>
      </w:tr>
      <w:tr w:rsidR="00EB094F" w:rsidRPr="00052EA3" w14:paraId="3EACAA94" w14:textId="77777777" w:rsidTr="00E32091">
        <w:trPr>
          <w:jc w:val="center"/>
        </w:trPr>
        <w:tc>
          <w:tcPr>
            <w:tcW w:w="2335" w:type="dxa"/>
            <w:shd w:val="clear" w:color="auto" w:fill="auto"/>
            <w:tcMar>
              <w:top w:w="72" w:type="dxa"/>
              <w:left w:w="144" w:type="dxa"/>
              <w:bottom w:w="72" w:type="dxa"/>
              <w:right w:w="144" w:type="dxa"/>
            </w:tcMar>
          </w:tcPr>
          <w:p w14:paraId="2BA6D0CF"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T</w:t>
            </w:r>
            <w:r w:rsidRPr="00052EA3">
              <w:rPr>
                <w:rFonts w:ascii="Times New Roman" w:hAnsi="Times New Roman" w:cs="Times New Roman"/>
                <w:sz w:val="20"/>
                <w:vertAlign w:val="subscript"/>
              </w:rPr>
              <w:t>Evaluate_</w:t>
            </w:r>
            <w:r w:rsidRPr="00052EA3">
              <w:rPr>
                <w:rFonts w:ascii="Times New Roman" w:hAnsi="Times New Roman" w:cs="Times New Roman"/>
                <w:sz w:val="20"/>
              </w:rPr>
              <w:t>Q</w:t>
            </w:r>
            <w:r w:rsidRPr="00052EA3">
              <w:rPr>
                <w:rFonts w:ascii="Times New Roman" w:hAnsi="Times New Roman" w:cs="Times New Roman"/>
                <w:sz w:val="20"/>
                <w:vertAlign w:val="subscript"/>
              </w:rPr>
              <w:t>in</w:t>
            </w:r>
          </w:p>
        </w:tc>
        <w:tc>
          <w:tcPr>
            <w:tcW w:w="3960" w:type="dxa"/>
          </w:tcPr>
          <w:p w14:paraId="39A55F61" w14:textId="77777777" w:rsidR="00EB094F" w:rsidRPr="00052EA3" w:rsidRDefault="00EB094F" w:rsidP="00E32091">
            <w:pPr>
              <w:pStyle w:val="TB-TableBody"/>
              <w:keepNext/>
              <w:keepLines/>
              <w:spacing w:before="0" w:after="0" w:line="276" w:lineRule="auto"/>
              <w:rPr>
                <w:rFonts w:ascii="Times New Roman" w:eastAsia="?? ??" w:hAnsi="Times New Roman" w:cs="Times New Roman"/>
                <w:sz w:val="20"/>
              </w:rPr>
            </w:pPr>
            <w:r w:rsidRPr="00052EA3">
              <w:rPr>
                <w:rFonts w:ascii="Times New Roman" w:eastAsia="?? ??" w:hAnsi="Times New Roman" w:cs="Times New Roman"/>
                <w:sz w:val="20"/>
              </w:rPr>
              <w:t>Q</w:t>
            </w:r>
            <w:r w:rsidRPr="00052EA3">
              <w:rPr>
                <w:rFonts w:ascii="Times New Roman" w:eastAsia="?? ??" w:hAnsi="Times New Roman" w:cs="Times New Roman"/>
                <w:sz w:val="20"/>
                <w:vertAlign w:val="subscript"/>
              </w:rPr>
              <w:t>in</w:t>
            </w:r>
            <w:r w:rsidRPr="00052EA3">
              <w:rPr>
                <w:rFonts w:ascii="Times New Roman" w:eastAsia="?? ??" w:hAnsi="Times New Roman" w:cs="Times New Roman"/>
                <w:sz w:val="20"/>
              </w:rPr>
              <w:t xml:space="preserve"> evaluation period</w:t>
            </w:r>
          </w:p>
        </w:tc>
        <w:tc>
          <w:tcPr>
            <w:tcW w:w="2790" w:type="dxa"/>
          </w:tcPr>
          <w:p w14:paraId="1848DF56"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L1 samples filtered linearly over a sliding window of 100 ms</w:t>
            </w:r>
          </w:p>
        </w:tc>
      </w:tr>
      <w:tr w:rsidR="00EB094F" w:rsidRPr="00052EA3" w14:paraId="63742B71" w14:textId="77777777" w:rsidTr="00E32091">
        <w:trPr>
          <w:jc w:val="center"/>
        </w:trPr>
        <w:tc>
          <w:tcPr>
            <w:tcW w:w="2335" w:type="dxa"/>
            <w:shd w:val="clear" w:color="auto" w:fill="auto"/>
            <w:tcMar>
              <w:top w:w="72" w:type="dxa"/>
              <w:left w:w="144" w:type="dxa"/>
              <w:bottom w:w="72" w:type="dxa"/>
              <w:right w:w="144" w:type="dxa"/>
            </w:tcMar>
          </w:tcPr>
          <w:p w14:paraId="0118BC6C"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T310</w:t>
            </w:r>
          </w:p>
        </w:tc>
        <w:tc>
          <w:tcPr>
            <w:tcW w:w="3960" w:type="dxa"/>
          </w:tcPr>
          <w:p w14:paraId="2D0127BE"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Timer to trigger radio link failure</w:t>
            </w:r>
          </w:p>
        </w:tc>
        <w:tc>
          <w:tcPr>
            <w:tcW w:w="2790" w:type="dxa"/>
          </w:tcPr>
          <w:p w14:paraId="205E79D2" w14:textId="77777777" w:rsidR="00EB094F" w:rsidRPr="00052EA3" w:rsidRDefault="00EB094F" w:rsidP="00E32091">
            <w:pPr>
              <w:pStyle w:val="TB-TableBody"/>
              <w:keepNext/>
              <w:keepLines/>
              <w:spacing w:before="0" w:after="0" w:line="276" w:lineRule="auto"/>
              <w:rPr>
                <w:rFonts w:ascii="Times New Roman" w:eastAsia="MS Mincho" w:hAnsi="Times New Roman" w:cs="Times New Roman"/>
                <w:sz w:val="20"/>
                <w:lang w:eastAsia="ja-JP"/>
              </w:rPr>
            </w:pPr>
            <w:r w:rsidRPr="00052EA3">
              <w:rPr>
                <w:rFonts w:ascii="Times New Roman" w:eastAsia="MS Mincho" w:hAnsi="Times New Roman" w:cs="Times New Roman"/>
                <w:sz w:val="20"/>
                <w:lang w:eastAsia="ja-JP"/>
              </w:rPr>
              <w:t>1 s</w:t>
            </w:r>
          </w:p>
        </w:tc>
      </w:tr>
      <w:tr w:rsidR="00EB094F" w:rsidRPr="00052EA3" w14:paraId="4D7D01BD" w14:textId="77777777" w:rsidTr="00E32091">
        <w:trPr>
          <w:jc w:val="center"/>
        </w:trPr>
        <w:tc>
          <w:tcPr>
            <w:tcW w:w="2335" w:type="dxa"/>
            <w:shd w:val="clear" w:color="auto" w:fill="auto"/>
            <w:tcMar>
              <w:top w:w="72" w:type="dxa"/>
              <w:left w:w="144" w:type="dxa"/>
              <w:bottom w:w="72" w:type="dxa"/>
              <w:right w:w="144" w:type="dxa"/>
            </w:tcMar>
          </w:tcPr>
          <w:p w14:paraId="7AB36E71"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N310</w:t>
            </w:r>
          </w:p>
        </w:tc>
        <w:tc>
          <w:tcPr>
            <w:tcW w:w="3960" w:type="dxa"/>
          </w:tcPr>
          <w:p w14:paraId="50A0EC39"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lang w:eastAsia="en-GB"/>
              </w:rPr>
              <w:t>Maximum number of consecutive "out-of-sync" indications from lower layers</w:t>
            </w:r>
          </w:p>
        </w:tc>
        <w:tc>
          <w:tcPr>
            <w:tcW w:w="2790" w:type="dxa"/>
          </w:tcPr>
          <w:p w14:paraId="48931442" w14:textId="77777777" w:rsidR="00EB094F" w:rsidRPr="00052EA3" w:rsidRDefault="00EB094F" w:rsidP="00E32091">
            <w:pPr>
              <w:pStyle w:val="TB-TableBody"/>
              <w:keepNext/>
              <w:keepLines/>
              <w:spacing w:before="0" w:after="0" w:line="276" w:lineRule="auto"/>
              <w:rPr>
                <w:rFonts w:ascii="Times New Roman" w:eastAsia="MS Mincho" w:hAnsi="Times New Roman" w:cs="Times New Roman"/>
                <w:sz w:val="20"/>
                <w:lang w:eastAsia="ja-JP"/>
              </w:rPr>
            </w:pPr>
            <w:r w:rsidRPr="00052EA3">
              <w:rPr>
                <w:rFonts w:ascii="Times New Roman" w:eastAsia="MS Mincho" w:hAnsi="Times New Roman" w:cs="Times New Roman"/>
                <w:sz w:val="20"/>
                <w:lang w:eastAsia="ja-JP"/>
              </w:rPr>
              <w:t>1</w:t>
            </w:r>
          </w:p>
        </w:tc>
      </w:tr>
      <w:tr w:rsidR="00EB094F" w:rsidRPr="00052EA3" w14:paraId="631D0A08" w14:textId="77777777" w:rsidTr="00E32091">
        <w:trPr>
          <w:jc w:val="center"/>
        </w:trPr>
        <w:tc>
          <w:tcPr>
            <w:tcW w:w="2335" w:type="dxa"/>
            <w:shd w:val="clear" w:color="auto" w:fill="auto"/>
            <w:tcMar>
              <w:top w:w="72" w:type="dxa"/>
              <w:left w:w="144" w:type="dxa"/>
              <w:bottom w:w="72" w:type="dxa"/>
              <w:right w:w="144" w:type="dxa"/>
            </w:tcMar>
          </w:tcPr>
          <w:p w14:paraId="4FB8A0BA"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T311</w:t>
            </w:r>
          </w:p>
        </w:tc>
        <w:tc>
          <w:tcPr>
            <w:tcW w:w="3960" w:type="dxa"/>
          </w:tcPr>
          <w:p w14:paraId="78FADD14" w14:textId="7775BF05"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Not used (RLF recover</w:t>
            </w:r>
            <w:r>
              <w:rPr>
                <w:rFonts w:ascii="Times New Roman" w:hAnsi="Times New Roman" w:cs="Times New Roman"/>
                <w:sz w:val="20"/>
              </w:rPr>
              <w:t>y</w:t>
            </w:r>
            <w:r w:rsidRPr="00052EA3">
              <w:rPr>
                <w:rFonts w:ascii="Times New Roman" w:hAnsi="Times New Roman" w:cs="Times New Roman"/>
                <w:sz w:val="20"/>
              </w:rPr>
              <w:t xml:space="preserve"> not simulated)</w:t>
            </w:r>
          </w:p>
        </w:tc>
        <w:tc>
          <w:tcPr>
            <w:tcW w:w="2790" w:type="dxa"/>
          </w:tcPr>
          <w:p w14:paraId="4B003C7B"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Not used (RLF recover not simulated)</w:t>
            </w:r>
          </w:p>
        </w:tc>
      </w:tr>
      <w:tr w:rsidR="00EB094F" w:rsidRPr="00052EA3" w14:paraId="02211250" w14:textId="77777777" w:rsidTr="00E32091">
        <w:trPr>
          <w:jc w:val="center"/>
        </w:trPr>
        <w:tc>
          <w:tcPr>
            <w:tcW w:w="2335" w:type="dxa"/>
            <w:shd w:val="clear" w:color="auto" w:fill="auto"/>
            <w:tcMar>
              <w:top w:w="72" w:type="dxa"/>
              <w:left w:w="144" w:type="dxa"/>
              <w:bottom w:w="72" w:type="dxa"/>
              <w:right w:w="144" w:type="dxa"/>
            </w:tcMar>
          </w:tcPr>
          <w:p w14:paraId="6C16BC74"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N311</w:t>
            </w:r>
          </w:p>
        </w:tc>
        <w:tc>
          <w:tcPr>
            <w:tcW w:w="3960" w:type="dxa"/>
          </w:tcPr>
          <w:p w14:paraId="3F48AF64"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lang w:eastAsia="en-GB"/>
              </w:rPr>
              <w:t>Maximum number of consecutive "in-sync" indications from lower layers</w:t>
            </w:r>
          </w:p>
        </w:tc>
        <w:tc>
          <w:tcPr>
            <w:tcW w:w="2790" w:type="dxa"/>
          </w:tcPr>
          <w:p w14:paraId="627D75E7"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1</w:t>
            </w:r>
          </w:p>
        </w:tc>
      </w:tr>
      <w:tr w:rsidR="00EB094F" w:rsidRPr="00052EA3" w14:paraId="2246CC35" w14:textId="77777777" w:rsidTr="00E32091">
        <w:trPr>
          <w:jc w:val="center"/>
        </w:trPr>
        <w:tc>
          <w:tcPr>
            <w:tcW w:w="2335" w:type="dxa"/>
            <w:shd w:val="clear" w:color="auto" w:fill="auto"/>
            <w:tcMar>
              <w:top w:w="72" w:type="dxa"/>
              <w:left w:w="144" w:type="dxa"/>
              <w:bottom w:w="72" w:type="dxa"/>
              <w:right w:w="144" w:type="dxa"/>
            </w:tcMar>
          </w:tcPr>
          <w:p w14:paraId="49C8300C"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HOPreparationDelay</w:t>
            </w:r>
          </w:p>
        </w:tc>
        <w:tc>
          <w:tcPr>
            <w:tcW w:w="3960" w:type="dxa"/>
          </w:tcPr>
          <w:p w14:paraId="1FE823EA"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Handover preparation delay</w:t>
            </w:r>
          </w:p>
        </w:tc>
        <w:tc>
          <w:tcPr>
            <w:tcW w:w="2790" w:type="dxa"/>
          </w:tcPr>
          <w:p w14:paraId="27B6938A"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50 ms</w:t>
            </w:r>
          </w:p>
        </w:tc>
      </w:tr>
      <w:tr w:rsidR="00EB094F" w:rsidRPr="00052EA3" w14:paraId="567D3BC5" w14:textId="77777777" w:rsidTr="00E32091">
        <w:trPr>
          <w:jc w:val="center"/>
        </w:trPr>
        <w:tc>
          <w:tcPr>
            <w:tcW w:w="2335" w:type="dxa"/>
            <w:shd w:val="clear" w:color="auto" w:fill="auto"/>
            <w:tcMar>
              <w:top w:w="72" w:type="dxa"/>
              <w:left w:w="144" w:type="dxa"/>
              <w:bottom w:w="72" w:type="dxa"/>
              <w:right w:w="144" w:type="dxa"/>
            </w:tcMar>
          </w:tcPr>
          <w:p w14:paraId="1114D424"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HOExecutionDelay</w:t>
            </w:r>
          </w:p>
        </w:tc>
        <w:tc>
          <w:tcPr>
            <w:tcW w:w="3960" w:type="dxa"/>
          </w:tcPr>
          <w:p w14:paraId="671B161C"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Handover execution delay</w:t>
            </w:r>
            <w:r w:rsidRPr="00052EA3">
              <w:rPr>
                <w:rFonts w:ascii="Times New Roman" w:hAnsi="Times New Roman" w:cs="Times New Roman"/>
                <w:sz w:val="20"/>
              </w:rPr>
              <w:tab/>
            </w:r>
          </w:p>
        </w:tc>
        <w:tc>
          <w:tcPr>
            <w:tcW w:w="2790" w:type="dxa"/>
          </w:tcPr>
          <w:p w14:paraId="152C1062"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40 ms</w:t>
            </w:r>
          </w:p>
        </w:tc>
      </w:tr>
      <w:tr w:rsidR="00EB094F" w:rsidRPr="00052EA3" w14:paraId="6979A4D4" w14:textId="77777777" w:rsidTr="00E32091">
        <w:trPr>
          <w:jc w:val="center"/>
        </w:trPr>
        <w:tc>
          <w:tcPr>
            <w:tcW w:w="2335" w:type="dxa"/>
            <w:shd w:val="clear" w:color="auto" w:fill="auto"/>
            <w:tcMar>
              <w:top w:w="72" w:type="dxa"/>
              <w:left w:w="144" w:type="dxa"/>
              <w:bottom w:w="72" w:type="dxa"/>
              <w:right w:w="144" w:type="dxa"/>
            </w:tcMar>
          </w:tcPr>
          <w:p w14:paraId="1D6AC8F0"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RSRPError</w:t>
            </w:r>
          </w:p>
        </w:tc>
        <w:tc>
          <w:tcPr>
            <w:tcW w:w="3960" w:type="dxa"/>
          </w:tcPr>
          <w:p w14:paraId="24AB66E5"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Standard deviation of RSRP measurement error</w:t>
            </w:r>
          </w:p>
        </w:tc>
        <w:tc>
          <w:tcPr>
            <w:tcW w:w="2790" w:type="dxa"/>
          </w:tcPr>
          <w:p w14:paraId="5E973283"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1.22 dB</w:t>
            </w:r>
          </w:p>
        </w:tc>
      </w:tr>
      <w:tr w:rsidR="00EB094F" w:rsidRPr="00052EA3" w14:paraId="2DEFC46C" w14:textId="77777777" w:rsidTr="00E32091">
        <w:trPr>
          <w:jc w:val="center"/>
        </w:trPr>
        <w:tc>
          <w:tcPr>
            <w:tcW w:w="2335" w:type="dxa"/>
            <w:shd w:val="clear" w:color="auto" w:fill="auto"/>
            <w:tcMar>
              <w:top w:w="72" w:type="dxa"/>
              <w:left w:w="144" w:type="dxa"/>
              <w:bottom w:w="72" w:type="dxa"/>
              <w:right w:w="144" w:type="dxa"/>
            </w:tcMar>
          </w:tcPr>
          <w:p w14:paraId="7AB53FAA"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MTS</w:t>
            </w:r>
          </w:p>
        </w:tc>
        <w:tc>
          <w:tcPr>
            <w:tcW w:w="3960" w:type="dxa"/>
          </w:tcPr>
          <w:p w14:paraId="1658571E"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Minimum time to stay for ping-pong metric</w:t>
            </w:r>
          </w:p>
        </w:tc>
        <w:tc>
          <w:tcPr>
            <w:tcW w:w="2790" w:type="dxa"/>
          </w:tcPr>
          <w:p w14:paraId="5612E533"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1 s</w:t>
            </w:r>
          </w:p>
        </w:tc>
      </w:tr>
      <w:tr w:rsidR="00EB094F" w:rsidRPr="00052EA3" w14:paraId="045473D5" w14:textId="77777777" w:rsidTr="00E32091">
        <w:trPr>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tcPr>
          <w:p w14:paraId="13E9DEF5" w14:textId="21D88565"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lastRenderedPageBreak/>
              <w:t>UE height</w:t>
            </w:r>
          </w:p>
        </w:tc>
        <w:tc>
          <w:tcPr>
            <w:tcW w:w="3960" w:type="dxa"/>
            <w:tcBorders>
              <w:top w:val="single" w:sz="4" w:space="0" w:color="000000"/>
              <w:left w:val="single" w:sz="4" w:space="0" w:color="000000"/>
              <w:bottom w:val="single" w:sz="4" w:space="0" w:color="000000"/>
              <w:right w:val="single" w:sz="4" w:space="0" w:color="000000"/>
            </w:tcBorders>
          </w:tcPr>
          <w:p w14:paraId="76249CD6" w14:textId="77777777" w:rsidR="00AF2AAA" w:rsidRDefault="00EB094F" w:rsidP="00E32091">
            <w:pPr>
              <w:pStyle w:val="TB-TableBody"/>
              <w:keepNext/>
              <w:keepLines/>
              <w:spacing w:before="0" w:after="0" w:line="276" w:lineRule="auto"/>
            </w:pPr>
            <w:r w:rsidRPr="00052EA3">
              <w:rPr>
                <w:rFonts w:ascii="Times New Roman" w:hAnsi="Times New Roman" w:cs="Times New Roman"/>
                <w:sz w:val="20"/>
              </w:rPr>
              <w:t>Height in meter above ground level</w:t>
            </w:r>
            <w:r w:rsidR="00AF2AAA">
              <w:t xml:space="preserve"> </w:t>
            </w:r>
          </w:p>
          <w:p w14:paraId="0E1B216B" w14:textId="4ADC07D0" w:rsidR="00EB094F" w:rsidRPr="00052EA3" w:rsidRDefault="00AF2AAA" w:rsidP="00E32091">
            <w:pPr>
              <w:pStyle w:val="TB-TableBody"/>
              <w:keepNext/>
              <w:keepLines/>
              <w:spacing w:before="0" w:after="0" w:line="276" w:lineRule="auto"/>
              <w:rPr>
                <w:rFonts w:ascii="Times New Roman" w:hAnsi="Times New Roman" w:cs="Times New Roman"/>
                <w:sz w:val="20"/>
              </w:rPr>
            </w:pPr>
            <w:r w:rsidRPr="00AF2AAA">
              <w:rPr>
                <w:rFonts w:ascii="Times New Roman" w:hAnsi="Times New Roman" w:cs="Times New Roman"/>
                <w:sz w:val="20"/>
              </w:rPr>
              <w:t>NOTE:</w:t>
            </w:r>
            <w:r w:rsidRPr="00AF2AAA">
              <w:rPr>
                <w:rFonts w:ascii="Times New Roman" w:hAnsi="Times New Roman" w:cs="Times New Roman"/>
                <w:sz w:val="20"/>
              </w:rPr>
              <w:tab/>
              <w:t>0 m AGL corresponds to ground UEs, in which case the UEs are modelled as being at 1.5m height.</w:t>
            </w:r>
          </w:p>
        </w:tc>
        <w:tc>
          <w:tcPr>
            <w:tcW w:w="2790" w:type="dxa"/>
            <w:tcBorders>
              <w:top w:val="single" w:sz="4" w:space="0" w:color="000000"/>
              <w:left w:val="single" w:sz="4" w:space="0" w:color="000000"/>
              <w:bottom w:val="single" w:sz="4" w:space="0" w:color="000000"/>
              <w:right w:val="single" w:sz="4" w:space="0" w:color="000000"/>
            </w:tcBorders>
          </w:tcPr>
          <w:p w14:paraId="41DDB321"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 xml:space="preserve">0 m, 50 m, </w:t>
            </w:r>
          </w:p>
          <w:p w14:paraId="712DC7BC"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 xml:space="preserve">100 m, 300 m (AGL) </w:t>
            </w:r>
          </w:p>
        </w:tc>
      </w:tr>
      <w:tr w:rsidR="00EB094F" w:rsidRPr="00052EA3" w14:paraId="51FF76D4" w14:textId="77777777" w:rsidTr="00E32091">
        <w:trPr>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tcPr>
          <w:p w14:paraId="36EC61A9"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UE speed</w:t>
            </w:r>
          </w:p>
        </w:tc>
        <w:tc>
          <w:tcPr>
            <w:tcW w:w="3960" w:type="dxa"/>
            <w:tcBorders>
              <w:top w:val="single" w:sz="4" w:space="0" w:color="000000"/>
              <w:left w:val="single" w:sz="4" w:space="0" w:color="000000"/>
              <w:bottom w:val="single" w:sz="4" w:space="0" w:color="000000"/>
              <w:right w:val="single" w:sz="4" w:space="0" w:color="000000"/>
            </w:tcBorders>
          </w:tcPr>
          <w:p w14:paraId="256B5B7A"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Horizontal speed</w:t>
            </w:r>
            <w:r>
              <w:rPr>
                <w:rFonts w:ascii="Times New Roman" w:hAnsi="Times New Roman" w:cs="Times New Roman"/>
                <w:sz w:val="20"/>
              </w:rPr>
              <w:t xml:space="preserve"> for terrestrial and aerial UTs</w:t>
            </w:r>
          </w:p>
        </w:tc>
        <w:tc>
          <w:tcPr>
            <w:tcW w:w="2790" w:type="dxa"/>
            <w:tcBorders>
              <w:top w:val="single" w:sz="4" w:space="0" w:color="000000"/>
              <w:left w:val="single" w:sz="4" w:space="0" w:color="000000"/>
              <w:bottom w:val="single" w:sz="4" w:space="0" w:color="000000"/>
              <w:right w:val="single" w:sz="4" w:space="0" w:color="000000"/>
            </w:tcBorders>
          </w:tcPr>
          <w:p w14:paraId="22A10AF3"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 xml:space="preserve">3 km/h, 30 km/h, </w:t>
            </w:r>
          </w:p>
          <w:p w14:paraId="172DC586"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60 km/h, 160 km/h</w:t>
            </w:r>
          </w:p>
        </w:tc>
      </w:tr>
      <w:tr w:rsidR="00EB094F" w:rsidRPr="00052EA3" w14:paraId="6A49109F" w14:textId="77777777" w:rsidTr="00E32091">
        <w:trPr>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tcPr>
          <w:p w14:paraId="24C08B15" w14:textId="1D59C648" w:rsidR="00EB094F" w:rsidRPr="00052EA3" w:rsidRDefault="00EB094F" w:rsidP="00E32091">
            <w:pPr>
              <w:pStyle w:val="TB-TableBody"/>
              <w:keepNext/>
              <w:keepLines/>
              <w:spacing w:before="0" w:after="0" w:line="276" w:lineRule="auto"/>
              <w:rPr>
                <w:rFonts w:ascii="Times New Roman" w:hAnsi="Times New Roman" w:cs="Times New Roman"/>
                <w:sz w:val="20"/>
              </w:rPr>
            </w:pPr>
            <w:r>
              <w:rPr>
                <w:rFonts w:ascii="Times New Roman" w:hAnsi="Times New Roman" w:cs="Times New Roman"/>
                <w:sz w:val="20"/>
              </w:rPr>
              <w:t>Total number of UEs</w:t>
            </w:r>
          </w:p>
        </w:tc>
        <w:tc>
          <w:tcPr>
            <w:tcW w:w="3960" w:type="dxa"/>
            <w:tcBorders>
              <w:top w:val="single" w:sz="4" w:space="0" w:color="000000"/>
              <w:left w:val="single" w:sz="4" w:space="0" w:color="000000"/>
              <w:bottom w:val="single" w:sz="4" w:space="0" w:color="000000"/>
              <w:right w:val="single" w:sz="4" w:space="0" w:color="000000"/>
            </w:tcBorders>
          </w:tcPr>
          <w:p w14:paraId="09A45C87" w14:textId="6AED51F0" w:rsidR="00EB094F" w:rsidRPr="00052EA3" w:rsidRDefault="009377F8" w:rsidP="00E32091">
            <w:pPr>
              <w:pStyle w:val="TB-TableBody"/>
              <w:keepNext/>
              <w:keepLines/>
              <w:spacing w:before="0" w:after="0" w:line="276" w:lineRule="auto"/>
              <w:rPr>
                <w:rFonts w:ascii="Times New Roman" w:hAnsi="Times New Roman" w:cs="Times New Roman"/>
                <w:sz w:val="20"/>
              </w:rPr>
            </w:pPr>
            <w:r>
              <w:rPr>
                <w:rFonts w:ascii="Times New Roman" w:hAnsi="Times New Roman" w:cs="Times New Roman"/>
                <w:sz w:val="20"/>
              </w:rPr>
              <w:t>Same as RAN1</w:t>
            </w:r>
          </w:p>
        </w:tc>
        <w:tc>
          <w:tcPr>
            <w:tcW w:w="2790" w:type="dxa"/>
            <w:tcBorders>
              <w:top w:val="single" w:sz="4" w:space="0" w:color="000000"/>
              <w:left w:val="single" w:sz="4" w:space="0" w:color="000000"/>
              <w:bottom w:val="single" w:sz="4" w:space="0" w:color="000000"/>
              <w:right w:val="single" w:sz="4" w:space="0" w:color="000000"/>
            </w:tcBorders>
          </w:tcPr>
          <w:p w14:paraId="017E6DDB" w14:textId="26FF41B3" w:rsidR="00EB094F" w:rsidRPr="00052EA3" w:rsidRDefault="00EB094F" w:rsidP="00E32091">
            <w:pPr>
              <w:pStyle w:val="TB-TableBody"/>
              <w:keepNext/>
              <w:keepLines/>
              <w:spacing w:before="0" w:after="0" w:line="276" w:lineRule="auto"/>
              <w:rPr>
                <w:rFonts w:ascii="Times New Roman" w:hAnsi="Times New Roman" w:cs="Times New Roman"/>
                <w:sz w:val="20"/>
              </w:rPr>
            </w:pPr>
            <w:r>
              <w:rPr>
                <w:rFonts w:ascii="Times New Roman" w:hAnsi="Times New Roman" w:cs="Times New Roman"/>
                <w:sz w:val="20"/>
              </w:rPr>
              <w:t>15</w:t>
            </w:r>
          </w:p>
        </w:tc>
      </w:tr>
      <w:tr w:rsidR="00EB094F" w:rsidRPr="00052EA3" w14:paraId="0B9A5DFD" w14:textId="77777777" w:rsidTr="00E32091">
        <w:trPr>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tcPr>
          <w:p w14:paraId="507E71FD"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Outdoor terrestrial UE ratio</w:t>
            </w:r>
          </w:p>
        </w:tc>
        <w:tc>
          <w:tcPr>
            <w:tcW w:w="3960" w:type="dxa"/>
            <w:tcBorders>
              <w:top w:val="single" w:sz="4" w:space="0" w:color="000000"/>
              <w:left w:val="single" w:sz="4" w:space="0" w:color="000000"/>
              <w:bottom w:val="single" w:sz="4" w:space="0" w:color="000000"/>
              <w:right w:val="single" w:sz="4" w:space="0" w:color="000000"/>
            </w:tcBorders>
          </w:tcPr>
          <w:p w14:paraId="1DE7E1FC"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p>
        </w:tc>
        <w:tc>
          <w:tcPr>
            <w:tcW w:w="2790" w:type="dxa"/>
            <w:tcBorders>
              <w:top w:val="single" w:sz="4" w:space="0" w:color="000000"/>
              <w:left w:val="single" w:sz="4" w:space="0" w:color="000000"/>
              <w:bottom w:val="single" w:sz="4" w:space="0" w:color="000000"/>
              <w:right w:val="single" w:sz="4" w:space="0" w:color="000000"/>
            </w:tcBorders>
          </w:tcPr>
          <w:p w14:paraId="0878567B" w14:textId="544E9B5B" w:rsidR="00EB094F" w:rsidRPr="00052EA3" w:rsidRDefault="00EB094F" w:rsidP="00E32091">
            <w:pPr>
              <w:pStyle w:val="TB-TableBody"/>
              <w:keepNext/>
              <w:keepLines/>
              <w:spacing w:before="0" w:after="0" w:line="276" w:lineRule="auto"/>
              <w:rPr>
                <w:rFonts w:ascii="Times New Roman" w:hAnsi="Times New Roman" w:cs="Times New Roman"/>
                <w:sz w:val="20"/>
              </w:rPr>
            </w:pPr>
            <w:r w:rsidRPr="00052EA3">
              <w:rPr>
                <w:rFonts w:ascii="Times New Roman" w:hAnsi="Times New Roman" w:cs="Times New Roman"/>
                <w:sz w:val="20"/>
              </w:rPr>
              <w:t xml:space="preserve">100% </w:t>
            </w:r>
          </w:p>
        </w:tc>
      </w:tr>
      <w:tr w:rsidR="00EB094F" w:rsidRPr="00052EA3" w14:paraId="0B3062A0" w14:textId="77777777" w:rsidTr="00E32091">
        <w:trPr>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tcPr>
          <w:p w14:paraId="3C147A51"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sidRPr="00EF3B13">
              <w:rPr>
                <w:rFonts w:ascii="Times New Roman" w:hAnsi="Times New Roman" w:cs="Times New Roman"/>
                <w:sz w:val="20"/>
              </w:rPr>
              <w:t>Aerial UT ratio</w:t>
            </w:r>
          </w:p>
        </w:tc>
        <w:tc>
          <w:tcPr>
            <w:tcW w:w="3960" w:type="dxa"/>
            <w:tcBorders>
              <w:top w:val="single" w:sz="4" w:space="0" w:color="000000"/>
              <w:left w:val="single" w:sz="4" w:space="0" w:color="000000"/>
              <w:bottom w:val="single" w:sz="4" w:space="0" w:color="000000"/>
              <w:right w:val="single" w:sz="4" w:space="0" w:color="000000"/>
            </w:tcBorders>
          </w:tcPr>
          <w:p w14:paraId="78A5533C"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Pr>
                <w:rFonts w:ascii="Times New Roman" w:hAnsi="Times New Roman" w:cs="Times New Roman"/>
                <w:sz w:val="20"/>
              </w:rPr>
              <w:t>Ratio of number of Aerial UTs to total UTs per sector</w:t>
            </w:r>
          </w:p>
        </w:tc>
        <w:tc>
          <w:tcPr>
            <w:tcW w:w="2790" w:type="dxa"/>
            <w:tcBorders>
              <w:top w:val="single" w:sz="4" w:space="0" w:color="000000"/>
              <w:left w:val="single" w:sz="4" w:space="0" w:color="000000"/>
              <w:bottom w:val="single" w:sz="4" w:space="0" w:color="000000"/>
              <w:right w:val="single" w:sz="4" w:space="0" w:color="000000"/>
            </w:tcBorders>
          </w:tcPr>
          <w:p w14:paraId="79770E84" w14:textId="77777777" w:rsidR="00EB094F" w:rsidRDefault="00EB094F" w:rsidP="00E32091">
            <w:pPr>
              <w:pStyle w:val="TB-TableBody"/>
              <w:keepNext/>
              <w:keepLines/>
              <w:spacing w:before="0" w:after="0" w:line="276" w:lineRule="auto"/>
              <w:rPr>
                <w:rFonts w:ascii="Times New Roman" w:hAnsi="Times New Roman" w:cs="Times New Roman"/>
                <w:sz w:val="20"/>
              </w:rPr>
            </w:pPr>
            <w:r>
              <w:rPr>
                <w:rFonts w:ascii="Times New Roman" w:hAnsi="Times New Roman" w:cs="Times New Roman"/>
                <w:sz w:val="20"/>
              </w:rPr>
              <w:t>0% (i.e., all terrestrial UTs)</w:t>
            </w:r>
          </w:p>
          <w:p w14:paraId="6774E98B" w14:textId="77777777" w:rsidR="00EB094F" w:rsidRPr="00052EA3" w:rsidRDefault="00EB094F" w:rsidP="00E32091">
            <w:pPr>
              <w:pStyle w:val="TB-TableBody"/>
              <w:keepNext/>
              <w:keepLines/>
              <w:spacing w:before="0" w:after="0" w:line="276" w:lineRule="auto"/>
              <w:rPr>
                <w:rFonts w:ascii="Times New Roman" w:hAnsi="Times New Roman" w:cs="Times New Roman"/>
                <w:sz w:val="20"/>
              </w:rPr>
            </w:pPr>
            <w:r>
              <w:rPr>
                <w:rFonts w:ascii="Times New Roman" w:hAnsi="Times New Roman" w:cs="Times New Roman"/>
                <w:sz w:val="20"/>
              </w:rPr>
              <w:t>100% (i.e., all Aerial UTs)</w:t>
            </w:r>
          </w:p>
        </w:tc>
      </w:tr>
      <w:tr w:rsidR="00EB094F" w:rsidRPr="00052EA3" w14:paraId="623D9489" w14:textId="77777777" w:rsidTr="00E32091">
        <w:trPr>
          <w:trHeight w:val="116"/>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tcPr>
          <w:p w14:paraId="5A444188" w14:textId="77777777" w:rsidR="00EB094F" w:rsidRPr="00EF3B13" w:rsidRDefault="00EB094F" w:rsidP="00E32091">
            <w:pPr>
              <w:pStyle w:val="TB-TableBody"/>
              <w:keepNext/>
              <w:keepLines/>
              <w:spacing w:before="0" w:after="0" w:line="276" w:lineRule="auto"/>
              <w:rPr>
                <w:rFonts w:ascii="Times New Roman" w:hAnsi="Times New Roman" w:cs="Times New Roman"/>
                <w:sz w:val="20"/>
              </w:rPr>
            </w:pPr>
            <w:r>
              <w:rPr>
                <w:rFonts w:ascii="Times New Roman" w:hAnsi="Times New Roman" w:cs="Times New Roman"/>
                <w:sz w:val="20"/>
              </w:rPr>
              <w:t>Traffic model</w:t>
            </w:r>
          </w:p>
        </w:tc>
        <w:tc>
          <w:tcPr>
            <w:tcW w:w="3960" w:type="dxa"/>
            <w:tcBorders>
              <w:top w:val="single" w:sz="4" w:space="0" w:color="000000"/>
              <w:left w:val="single" w:sz="4" w:space="0" w:color="000000"/>
              <w:bottom w:val="single" w:sz="4" w:space="0" w:color="000000"/>
              <w:right w:val="single" w:sz="4" w:space="0" w:color="000000"/>
            </w:tcBorders>
          </w:tcPr>
          <w:p w14:paraId="0792DB19" w14:textId="77777777" w:rsidR="00EB094F" w:rsidRDefault="00EB094F" w:rsidP="00E32091">
            <w:pPr>
              <w:pStyle w:val="TB-TableBody"/>
              <w:keepNext/>
              <w:keepLines/>
              <w:spacing w:before="0" w:after="0" w:line="276" w:lineRule="auto"/>
              <w:rPr>
                <w:rFonts w:ascii="Times New Roman" w:hAnsi="Times New Roman" w:cs="Times New Roman"/>
                <w:sz w:val="20"/>
              </w:rPr>
            </w:pPr>
            <w:r>
              <w:rPr>
                <w:rFonts w:ascii="Times New Roman" w:hAnsi="Times New Roman" w:cs="Times New Roman"/>
                <w:sz w:val="20"/>
              </w:rPr>
              <w:t>Traffic model for terrestrial and aerial UTs</w:t>
            </w:r>
          </w:p>
        </w:tc>
        <w:tc>
          <w:tcPr>
            <w:tcW w:w="2790" w:type="dxa"/>
            <w:tcBorders>
              <w:top w:val="single" w:sz="4" w:space="0" w:color="000000"/>
              <w:left w:val="single" w:sz="4" w:space="0" w:color="000000"/>
              <w:bottom w:val="single" w:sz="4" w:space="0" w:color="000000"/>
              <w:right w:val="single" w:sz="4" w:space="0" w:color="000000"/>
            </w:tcBorders>
          </w:tcPr>
          <w:p w14:paraId="223B9130" w14:textId="21C0463B" w:rsidR="00EB094F" w:rsidRPr="00E32091" w:rsidRDefault="00EB094F" w:rsidP="00E32091">
            <w:pPr>
              <w:pStyle w:val="TB-TableBody"/>
              <w:keepNext/>
              <w:keepLines/>
              <w:spacing w:before="0" w:after="0" w:line="276" w:lineRule="auto"/>
              <w:rPr>
                <w:rFonts w:ascii="Times New Roman" w:hAnsi="Times New Roman" w:cs="Times New Roman"/>
                <w:sz w:val="20"/>
              </w:rPr>
            </w:pPr>
            <w:r>
              <w:rPr>
                <w:rFonts w:ascii="Times New Roman" w:hAnsi="Times New Roman" w:cs="Times New Roman"/>
                <w:sz w:val="20"/>
              </w:rPr>
              <w:t xml:space="preserve">Full buffer </w:t>
            </w:r>
          </w:p>
        </w:tc>
      </w:tr>
    </w:tbl>
    <w:p w14:paraId="1D460A33" w14:textId="4527C74B" w:rsidR="005413BA" w:rsidRDefault="005413BA" w:rsidP="005413BA">
      <w:pPr>
        <w:pStyle w:val="NO"/>
      </w:pPr>
    </w:p>
    <w:p w14:paraId="4C2B818E" w14:textId="4C9AD19B" w:rsidR="00EE1DB2" w:rsidRPr="00F16116" w:rsidRDefault="00EE1DB2" w:rsidP="00EE1DB2">
      <w:pPr>
        <w:pStyle w:val="Heading2"/>
        <w:rPr>
          <w:i w:val="0"/>
        </w:rPr>
      </w:pPr>
      <w:bookmarkStart w:id="3" w:name="_Ref473540067"/>
      <w:bookmarkStart w:id="4" w:name="_Toc473812100"/>
      <w:r w:rsidRPr="00F16116">
        <w:rPr>
          <w:i w:val="0"/>
        </w:rPr>
        <w:t>Analysis of results</w:t>
      </w:r>
      <w:bookmarkEnd w:id="3"/>
      <w:bookmarkEnd w:id="4"/>
    </w:p>
    <w:p w14:paraId="3C15F390" w14:textId="576759EB" w:rsidR="00EE1DB2" w:rsidRPr="005D47BF" w:rsidRDefault="00EE1DB2" w:rsidP="00EF7957">
      <w:pPr>
        <w:pStyle w:val="B-Body"/>
        <w:ind w:left="0"/>
        <w:jc w:val="both"/>
        <w:rPr>
          <w:sz w:val="20"/>
        </w:rPr>
      </w:pPr>
      <w:r w:rsidRPr="005D47BF">
        <w:rPr>
          <w:sz w:val="20"/>
        </w:rPr>
        <w:t>In this section</w:t>
      </w:r>
      <w:r w:rsidR="00FE4049" w:rsidRPr="005D47BF">
        <w:rPr>
          <w:sz w:val="20"/>
        </w:rPr>
        <w:t>,</w:t>
      </w:r>
      <w:r w:rsidRPr="005D47BF">
        <w:rPr>
          <w:sz w:val="20"/>
        </w:rPr>
        <w:t xml:space="preserve"> we evaluate </w:t>
      </w:r>
      <w:r w:rsidR="00B337A2">
        <w:rPr>
          <w:sz w:val="20"/>
        </w:rPr>
        <w:t>the results of the handover</w:t>
      </w:r>
      <w:r w:rsidRPr="005D47BF">
        <w:rPr>
          <w:sz w:val="20"/>
        </w:rPr>
        <w:t xml:space="preserve"> simulations</w:t>
      </w:r>
      <w:r w:rsidR="00B026F0">
        <w:rPr>
          <w:sz w:val="20"/>
        </w:rPr>
        <w:t xml:space="preserve"> in different scenarios</w:t>
      </w:r>
      <w:r w:rsidRPr="005D47BF">
        <w:rPr>
          <w:sz w:val="20"/>
        </w:rPr>
        <w:t xml:space="preserve"> using performance </w:t>
      </w:r>
      <w:r w:rsidR="00B337A2">
        <w:rPr>
          <w:sz w:val="20"/>
        </w:rPr>
        <w:t>metrics</w:t>
      </w:r>
      <w:r w:rsidRPr="005D47BF">
        <w:rPr>
          <w:sz w:val="20"/>
        </w:rPr>
        <w:t xml:space="preserve"> tabulated in </w:t>
      </w:r>
      <w:r w:rsidR="00DF77D0">
        <w:rPr>
          <w:color w:val="000000" w:themeColor="text1"/>
          <w:sz w:val="20"/>
        </w:rPr>
        <w:t xml:space="preserve">Table 2. </w:t>
      </w:r>
      <w:r w:rsidR="00B337A2">
        <w:rPr>
          <w:sz w:val="20"/>
        </w:rPr>
        <w:t>A</w:t>
      </w:r>
      <w:r w:rsidRPr="005D47BF">
        <w:rPr>
          <w:sz w:val="20"/>
        </w:rPr>
        <w:t xml:space="preserve">ll </w:t>
      </w:r>
      <w:r w:rsidR="008B2687">
        <w:rPr>
          <w:sz w:val="20"/>
        </w:rPr>
        <w:t xml:space="preserve">values </w:t>
      </w:r>
      <w:r w:rsidRPr="005D47BF">
        <w:rPr>
          <w:sz w:val="20"/>
        </w:rPr>
        <w:t>are averages.</w:t>
      </w:r>
    </w:p>
    <w:p w14:paraId="6F90973D" w14:textId="2DEA8A4F" w:rsidR="007C3072" w:rsidRDefault="007C3072" w:rsidP="007C3072">
      <w:pPr>
        <w:pStyle w:val="Caption"/>
      </w:pPr>
      <w:bookmarkStart w:id="5" w:name="_Ref481071182"/>
      <w:r w:rsidRPr="007C3072">
        <w:t xml:space="preserve">Table </w:t>
      </w:r>
      <w:bookmarkEnd w:id="5"/>
      <w:r w:rsidR="00DF77D0">
        <w:t>2</w:t>
      </w:r>
      <w:r w:rsidRPr="007C3072">
        <w:t xml:space="preserve"> </w:t>
      </w:r>
      <w:r w:rsidR="00DF77D0">
        <w:t>KPIs</w:t>
      </w:r>
    </w:p>
    <w:tbl>
      <w:tblPr>
        <w:tblW w:w="8052" w:type="dxa"/>
        <w:tblInd w:w="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600" w:firstRow="0" w:lastRow="0" w:firstColumn="0" w:lastColumn="0" w:noHBand="1" w:noVBand="1"/>
      </w:tblPr>
      <w:tblGrid>
        <w:gridCol w:w="2160"/>
        <w:gridCol w:w="1296"/>
        <w:gridCol w:w="4596"/>
      </w:tblGrid>
      <w:tr w:rsidR="00DE10CF" w:rsidRPr="003D04B9" w14:paraId="07F14167" w14:textId="77777777" w:rsidTr="00C11F41">
        <w:trPr>
          <w:cantSplit/>
          <w:tblHeader/>
        </w:trPr>
        <w:tc>
          <w:tcPr>
            <w:tcW w:w="2160" w:type="dxa"/>
            <w:tcBorders>
              <w:bottom w:val="single" w:sz="12" w:space="0" w:color="auto"/>
            </w:tcBorders>
            <w:shd w:val="clear" w:color="auto" w:fill="auto"/>
            <w:tcMar>
              <w:top w:w="72" w:type="dxa"/>
              <w:left w:w="144" w:type="dxa"/>
              <w:bottom w:w="72" w:type="dxa"/>
              <w:right w:w="144" w:type="dxa"/>
            </w:tcMar>
            <w:hideMark/>
          </w:tcPr>
          <w:p w14:paraId="2C876F9D" w14:textId="77777777" w:rsidR="00DE10CF" w:rsidRPr="003D04B9" w:rsidRDefault="00DE10CF" w:rsidP="00C11F41">
            <w:pPr>
              <w:keepNext/>
              <w:keepLines/>
              <w:overflowPunct/>
              <w:autoSpaceDE/>
              <w:autoSpaceDN/>
              <w:adjustRightInd/>
              <w:spacing w:after="0"/>
              <w:jc w:val="center"/>
              <w:textAlignment w:val="auto"/>
              <w:rPr>
                <w:rFonts w:ascii="Arial" w:eastAsia="MS Mincho" w:hAnsi="Arial"/>
                <w:b/>
                <w:sz w:val="18"/>
              </w:rPr>
            </w:pPr>
            <w:r w:rsidRPr="003D04B9">
              <w:rPr>
                <w:rFonts w:ascii="Arial" w:eastAsia="MS Mincho" w:hAnsi="Arial"/>
                <w:b/>
                <w:sz w:val="18"/>
              </w:rPr>
              <w:t>KPI</w:t>
            </w:r>
          </w:p>
        </w:tc>
        <w:tc>
          <w:tcPr>
            <w:tcW w:w="1296" w:type="dxa"/>
            <w:tcBorders>
              <w:bottom w:val="single" w:sz="12" w:space="0" w:color="auto"/>
            </w:tcBorders>
            <w:shd w:val="clear" w:color="auto" w:fill="auto"/>
          </w:tcPr>
          <w:p w14:paraId="62D1A509" w14:textId="77777777" w:rsidR="00DE10CF" w:rsidRPr="003D04B9" w:rsidRDefault="00DE10CF" w:rsidP="00C11F41">
            <w:pPr>
              <w:keepNext/>
              <w:keepLines/>
              <w:overflowPunct/>
              <w:autoSpaceDE/>
              <w:autoSpaceDN/>
              <w:adjustRightInd/>
              <w:spacing w:after="0"/>
              <w:jc w:val="center"/>
              <w:textAlignment w:val="auto"/>
              <w:rPr>
                <w:rFonts w:ascii="Arial" w:eastAsia="MS Mincho" w:hAnsi="Arial"/>
                <w:b/>
                <w:sz w:val="18"/>
              </w:rPr>
            </w:pPr>
            <w:r w:rsidRPr="003D04B9">
              <w:rPr>
                <w:rFonts w:ascii="Arial" w:eastAsia="MS Mincho" w:hAnsi="Arial"/>
                <w:b/>
                <w:sz w:val="18"/>
              </w:rPr>
              <w:t>Unit</w:t>
            </w:r>
          </w:p>
        </w:tc>
        <w:tc>
          <w:tcPr>
            <w:tcW w:w="4596" w:type="dxa"/>
            <w:tcBorders>
              <w:bottom w:val="single" w:sz="12" w:space="0" w:color="auto"/>
            </w:tcBorders>
            <w:shd w:val="clear" w:color="auto" w:fill="auto"/>
            <w:tcMar>
              <w:top w:w="72" w:type="dxa"/>
              <w:left w:w="144" w:type="dxa"/>
              <w:bottom w:w="72" w:type="dxa"/>
              <w:right w:w="144" w:type="dxa"/>
            </w:tcMar>
            <w:hideMark/>
          </w:tcPr>
          <w:p w14:paraId="1FB543A8" w14:textId="77777777" w:rsidR="00DE10CF" w:rsidRPr="003D04B9" w:rsidRDefault="00DE10CF" w:rsidP="00C11F41">
            <w:pPr>
              <w:keepNext/>
              <w:keepLines/>
              <w:overflowPunct/>
              <w:autoSpaceDE/>
              <w:autoSpaceDN/>
              <w:adjustRightInd/>
              <w:spacing w:after="0"/>
              <w:jc w:val="center"/>
              <w:textAlignment w:val="auto"/>
              <w:rPr>
                <w:rFonts w:ascii="Arial" w:eastAsia="MS Mincho" w:hAnsi="Arial"/>
                <w:b/>
                <w:sz w:val="18"/>
              </w:rPr>
            </w:pPr>
            <w:r w:rsidRPr="003D04B9">
              <w:rPr>
                <w:rFonts w:ascii="Arial" w:eastAsia="MS Mincho" w:hAnsi="Arial"/>
                <w:b/>
                <w:sz w:val="18"/>
              </w:rPr>
              <w:t>Description</w:t>
            </w:r>
          </w:p>
        </w:tc>
      </w:tr>
      <w:tr w:rsidR="00DE10CF" w:rsidRPr="003D04B9" w14:paraId="75C6FA89" w14:textId="77777777" w:rsidTr="00C11F41">
        <w:trPr>
          <w:cantSplit/>
        </w:trPr>
        <w:tc>
          <w:tcPr>
            <w:tcW w:w="2160" w:type="dxa"/>
            <w:tcBorders>
              <w:top w:val="single" w:sz="12" w:space="0" w:color="auto"/>
            </w:tcBorders>
            <w:shd w:val="clear" w:color="auto" w:fill="auto"/>
            <w:tcMar>
              <w:top w:w="72" w:type="dxa"/>
              <w:left w:w="144" w:type="dxa"/>
              <w:bottom w:w="72" w:type="dxa"/>
              <w:right w:w="144" w:type="dxa"/>
            </w:tcMar>
          </w:tcPr>
          <w:p w14:paraId="4D66B6D4" w14:textId="77777777" w:rsidR="00DE10CF" w:rsidRPr="003D04B9" w:rsidRDefault="00DE10CF" w:rsidP="00C11F41">
            <w:pPr>
              <w:keepNext/>
              <w:keepLines/>
              <w:overflowPunct/>
              <w:autoSpaceDE/>
              <w:autoSpaceDN/>
              <w:adjustRightInd/>
              <w:spacing w:after="0"/>
              <w:textAlignment w:val="auto"/>
              <w:rPr>
                <w:rFonts w:ascii="Arial" w:eastAsia="MS Mincho" w:hAnsi="Arial"/>
                <w:sz w:val="18"/>
              </w:rPr>
            </w:pPr>
            <w:r w:rsidRPr="003D04B9">
              <w:rPr>
                <w:rFonts w:ascii="Arial" w:eastAsia="MS Mincho" w:hAnsi="Arial"/>
                <w:sz w:val="18"/>
              </w:rPr>
              <w:t>Handover rate</w:t>
            </w:r>
          </w:p>
        </w:tc>
        <w:tc>
          <w:tcPr>
            <w:tcW w:w="1296" w:type="dxa"/>
            <w:tcBorders>
              <w:top w:val="single" w:sz="12" w:space="0" w:color="auto"/>
            </w:tcBorders>
            <w:shd w:val="clear" w:color="auto" w:fill="auto"/>
          </w:tcPr>
          <w:p w14:paraId="7880B582" w14:textId="77777777" w:rsidR="00DE10CF" w:rsidRPr="003D04B9" w:rsidRDefault="00DE10CF" w:rsidP="00C11F41">
            <w:pPr>
              <w:keepNext/>
              <w:keepLines/>
              <w:overflowPunct/>
              <w:autoSpaceDE/>
              <w:autoSpaceDN/>
              <w:adjustRightInd/>
              <w:spacing w:after="0"/>
              <w:jc w:val="center"/>
              <w:textAlignment w:val="auto"/>
              <w:rPr>
                <w:rFonts w:ascii="Arial" w:eastAsia="MS Mincho" w:hAnsi="Arial"/>
                <w:sz w:val="18"/>
              </w:rPr>
            </w:pPr>
            <w:r w:rsidRPr="003D04B9">
              <w:rPr>
                <w:rFonts w:ascii="Arial" w:eastAsia="MS Mincho" w:hAnsi="Arial"/>
                <w:sz w:val="18"/>
              </w:rPr>
              <w:t>HO/UE/sec</w:t>
            </w:r>
          </w:p>
        </w:tc>
        <w:tc>
          <w:tcPr>
            <w:tcW w:w="4596" w:type="dxa"/>
            <w:tcBorders>
              <w:top w:val="single" w:sz="12" w:space="0" w:color="auto"/>
            </w:tcBorders>
            <w:shd w:val="clear" w:color="auto" w:fill="auto"/>
            <w:tcMar>
              <w:top w:w="72" w:type="dxa"/>
              <w:left w:w="144" w:type="dxa"/>
              <w:bottom w:w="72" w:type="dxa"/>
              <w:right w:w="144" w:type="dxa"/>
            </w:tcMar>
          </w:tcPr>
          <w:p w14:paraId="7CC03BE7" w14:textId="77777777" w:rsidR="00DE10CF" w:rsidRPr="003D04B9" w:rsidRDefault="00DE10CF" w:rsidP="00C11F41">
            <w:pPr>
              <w:keepNext/>
              <w:keepLines/>
              <w:overflowPunct/>
              <w:autoSpaceDE/>
              <w:autoSpaceDN/>
              <w:adjustRightInd/>
              <w:spacing w:after="0"/>
              <w:textAlignment w:val="auto"/>
              <w:rPr>
                <w:rFonts w:ascii="Arial" w:eastAsia="MS Mincho" w:hAnsi="Arial"/>
                <w:sz w:val="18"/>
                <w:lang w:eastAsia="ja-JP"/>
              </w:rPr>
            </w:pPr>
            <w:r w:rsidRPr="003D04B9">
              <w:rPr>
                <w:rFonts w:ascii="Arial" w:eastAsia="MS Mincho" w:hAnsi="Arial"/>
                <w:sz w:val="18"/>
              </w:rPr>
              <w:t>Number of HO attempts over time</w:t>
            </w:r>
            <w:r w:rsidRPr="003D04B9">
              <w:rPr>
                <w:rFonts w:ascii="Arial" w:eastAsia="MS Mincho" w:hAnsi="Arial" w:hint="eastAsia"/>
                <w:sz w:val="18"/>
                <w:lang w:eastAsia="ja-JP"/>
              </w:rPr>
              <w:t xml:space="preserve"> (including HOF)</w:t>
            </w:r>
          </w:p>
        </w:tc>
      </w:tr>
      <w:tr w:rsidR="00DE10CF" w:rsidRPr="003D04B9" w14:paraId="7F427475" w14:textId="77777777" w:rsidTr="00C11F41">
        <w:trPr>
          <w:cantSplit/>
        </w:trPr>
        <w:tc>
          <w:tcPr>
            <w:tcW w:w="2160" w:type="dxa"/>
            <w:shd w:val="clear" w:color="auto" w:fill="auto"/>
            <w:tcMar>
              <w:top w:w="72" w:type="dxa"/>
              <w:left w:w="144" w:type="dxa"/>
              <w:bottom w:w="72" w:type="dxa"/>
              <w:right w:w="144" w:type="dxa"/>
            </w:tcMar>
          </w:tcPr>
          <w:p w14:paraId="6D865014" w14:textId="77777777" w:rsidR="00DE10CF" w:rsidRPr="003D04B9" w:rsidRDefault="00DE10CF" w:rsidP="00C11F41">
            <w:pPr>
              <w:keepNext/>
              <w:keepLines/>
              <w:overflowPunct/>
              <w:autoSpaceDE/>
              <w:autoSpaceDN/>
              <w:adjustRightInd/>
              <w:spacing w:after="0"/>
              <w:textAlignment w:val="auto"/>
              <w:rPr>
                <w:rFonts w:ascii="Arial" w:eastAsia="MS Mincho" w:hAnsi="Arial"/>
                <w:sz w:val="18"/>
              </w:rPr>
            </w:pPr>
            <w:r w:rsidRPr="003D04B9">
              <w:rPr>
                <w:rFonts w:ascii="Arial" w:eastAsia="MS Mincho" w:hAnsi="Arial"/>
                <w:sz w:val="18"/>
              </w:rPr>
              <w:t>HOF rate</w:t>
            </w:r>
          </w:p>
        </w:tc>
        <w:tc>
          <w:tcPr>
            <w:tcW w:w="1296" w:type="dxa"/>
            <w:shd w:val="clear" w:color="auto" w:fill="auto"/>
          </w:tcPr>
          <w:p w14:paraId="54BB0846" w14:textId="77777777" w:rsidR="00DE10CF" w:rsidRPr="003D04B9" w:rsidRDefault="00DE10CF" w:rsidP="00C11F41">
            <w:pPr>
              <w:keepNext/>
              <w:keepLines/>
              <w:overflowPunct/>
              <w:autoSpaceDE/>
              <w:autoSpaceDN/>
              <w:adjustRightInd/>
              <w:spacing w:after="0"/>
              <w:jc w:val="center"/>
              <w:textAlignment w:val="auto"/>
              <w:rPr>
                <w:rFonts w:ascii="Arial" w:eastAsia="MS Mincho" w:hAnsi="Arial"/>
                <w:sz w:val="18"/>
                <w:lang w:eastAsia="ja-JP"/>
              </w:rPr>
            </w:pPr>
            <w:r w:rsidRPr="003D04B9">
              <w:rPr>
                <w:rFonts w:ascii="Arial" w:eastAsia="MS Mincho" w:hAnsi="Arial" w:hint="eastAsia"/>
                <w:sz w:val="18"/>
                <w:lang w:eastAsia="ja-JP"/>
              </w:rPr>
              <w:t>%</w:t>
            </w:r>
          </w:p>
        </w:tc>
        <w:tc>
          <w:tcPr>
            <w:tcW w:w="4596" w:type="dxa"/>
            <w:shd w:val="clear" w:color="auto" w:fill="auto"/>
            <w:tcMar>
              <w:top w:w="72" w:type="dxa"/>
              <w:left w:w="144" w:type="dxa"/>
              <w:bottom w:w="72" w:type="dxa"/>
              <w:right w:w="144" w:type="dxa"/>
            </w:tcMar>
          </w:tcPr>
          <w:p w14:paraId="26394CC2" w14:textId="77777777" w:rsidR="00DE10CF" w:rsidRPr="003D04B9" w:rsidRDefault="00DE10CF" w:rsidP="00C11F41">
            <w:pPr>
              <w:keepNext/>
              <w:keepLines/>
              <w:overflowPunct/>
              <w:autoSpaceDE/>
              <w:autoSpaceDN/>
              <w:adjustRightInd/>
              <w:spacing w:after="0"/>
              <w:textAlignment w:val="auto"/>
              <w:rPr>
                <w:rFonts w:ascii="Arial" w:eastAsia="MS Mincho" w:hAnsi="Arial"/>
                <w:sz w:val="18"/>
              </w:rPr>
            </w:pPr>
            <w:r w:rsidRPr="003D04B9">
              <w:rPr>
                <w:rFonts w:ascii="Arial" w:eastAsia="MS Mincho" w:hAnsi="Arial"/>
                <w:sz w:val="18"/>
              </w:rPr>
              <w:t>Number of HO failures</w:t>
            </w:r>
            <w:r w:rsidRPr="003D04B9">
              <w:rPr>
                <w:rFonts w:ascii="Arial" w:eastAsia="MS Mincho" w:hAnsi="Arial" w:hint="eastAsia"/>
                <w:sz w:val="18"/>
                <w:lang w:eastAsia="ja-JP"/>
              </w:rPr>
              <w:t xml:space="preserve">/Total number of HO attempts </w:t>
            </w:r>
            <w:r w:rsidRPr="003D04B9">
              <w:rPr>
                <w:rFonts w:ascii="Arial" w:eastAsia="MS Mincho" w:hAnsi="Arial"/>
                <w:sz w:val="18"/>
              </w:rPr>
              <w:t>(including HOF)</w:t>
            </w:r>
          </w:p>
        </w:tc>
      </w:tr>
      <w:tr w:rsidR="00DE10CF" w:rsidRPr="003D04B9" w14:paraId="26E5A8F0" w14:textId="77777777" w:rsidTr="00C11F41">
        <w:trPr>
          <w:cantSplit/>
        </w:trPr>
        <w:tc>
          <w:tcPr>
            <w:tcW w:w="2160" w:type="dxa"/>
            <w:shd w:val="clear" w:color="auto" w:fill="auto"/>
            <w:tcMar>
              <w:top w:w="72" w:type="dxa"/>
              <w:left w:w="144" w:type="dxa"/>
              <w:bottom w:w="72" w:type="dxa"/>
              <w:right w:w="144" w:type="dxa"/>
            </w:tcMar>
          </w:tcPr>
          <w:p w14:paraId="337A9F5F" w14:textId="77777777" w:rsidR="00DE10CF" w:rsidRPr="003D04B9" w:rsidRDefault="00DE10CF" w:rsidP="00C11F41">
            <w:pPr>
              <w:keepNext/>
              <w:keepLines/>
              <w:overflowPunct/>
              <w:autoSpaceDE/>
              <w:autoSpaceDN/>
              <w:adjustRightInd/>
              <w:spacing w:after="0"/>
              <w:textAlignment w:val="auto"/>
              <w:rPr>
                <w:rFonts w:ascii="Arial" w:eastAsia="MS Mincho" w:hAnsi="Arial"/>
                <w:sz w:val="18"/>
              </w:rPr>
            </w:pPr>
            <w:r w:rsidRPr="003D04B9">
              <w:rPr>
                <w:rFonts w:ascii="Arial" w:eastAsia="MS Mincho" w:hAnsi="Arial"/>
                <w:sz w:val="18"/>
              </w:rPr>
              <w:t>Radio Link Failure (RLF) rate</w:t>
            </w:r>
          </w:p>
        </w:tc>
        <w:tc>
          <w:tcPr>
            <w:tcW w:w="1296" w:type="dxa"/>
            <w:shd w:val="clear" w:color="auto" w:fill="auto"/>
          </w:tcPr>
          <w:p w14:paraId="0240C486" w14:textId="77777777" w:rsidR="00DE10CF" w:rsidRPr="003D04B9" w:rsidRDefault="00DE10CF" w:rsidP="00C11F41">
            <w:pPr>
              <w:keepNext/>
              <w:keepLines/>
              <w:overflowPunct/>
              <w:autoSpaceDE/>
              <w:autoSpaceDN/>
              <w:adjustRightInd/>
              <w:spacing w:after="0"/>
              <w:jc w:val="center"/>
              <w:textAlignment w:val="auto"/>
              <w:rPr>
                <w:rFonts w:ascii="Arial" w:eastAsia="MS Mincho" w:hAnsi="Arial"/>
                <w:sz w:val="18"/>
              </w:rPr>
            </w:pPr>
            <w:r w:rsidRPr="003D04B9">
              <w:rPr>
                <w:rFonts w:ascii="Arial" w:eastAsia="MS Mincho" w:hAnsi="Arial"/>
                <w:sz w:val="18"/>
              </w:rPr>
              <w:t>RLF/UE/sec</w:t>
            </w:r>
          </w:p>
        </w:tc>
        <w:tc>
          <w:tcPr>
            <w:tcW w:w="4596" w:type="dxa"/>
            <w:shd w:val="clear" w:color="auto" w:fill="auto"/>
            <w:tcMar>
              <w:top w:w="72" w:type="dxa"/>
              <w:left w:w="144" w:type="dxa"/>
              <w:bottom w:w="72" w:type="dxa"/>
              <w:right w:w="144" w:type="dxa"/>
            </w:tcMar>
          </w:tcPr>
          <w:p w14:paraId="09C00753" w14:textId="77777777" w:rsidR="00DE10CF" w:rsidRPr="003D04B9" w:rsidRDefault="00DE10CF" w:rsidP="00C11F41">
            <w:pPr>
              <w:keepNext/>
              <w:keepLines/>
              <w:overflowPunct/>
              <w:autoSpaceDE/>
              <w:autoSpaceDN/>
              <w:adjustRightInd/>
              <w:spacing w:after="0"/>
              <w:textAlignment w:val="auto"/>
              <w:rPr>
                <w:rFonts w:ascii="Arial" w:eastAsia="MS Mincho" w:hAnsi="Arial"/>
                <w:sz w:val="18"/>
              </w:rPr>
            </w:pPr>
            <w:r w:rsidRPr="003D04B9">
              <w:rPr>
                <w:rFonts w:ascii="Arial" w:eastAsia="MS Mincho" w:hAnsi="Arial"/>
                <w:sz w:val="18"/>
              </w:rPr>
              <w:t>Number of RLFs over time</w:t>
            </w:r>
          </w:p>
        </w:tc>
      </w:tr>
      <w:tr w:rsidR="00DE10CF" w:rsidRPr="003D04B9" w14:paraId="41DF987E" w14:textId="77777777" w:rsidTr="00C11F41">
        <w:trPr>
          <w:cantSplit/>
        </w:trPr>
        <w:tc>
          <w:tcPr>
            <w:tcW w:w="2160" w:type="dxa"/>
            <w:shd w:val="clear" w:color="auto" w:fill="auto"/>
            <w:tcMar>
              <w:top w:w="72" w:type="dxa"/>
              <w:left w:w="144" w:type="dxa"/>
              <w:bottom w:w="72" w:type="dxa"/>
              <w:right w:w="144" w:type="dxa"/>
            </w:tcMar>
          </w:tcPr>
          <w:p w14:paraId="538EC8FB" w14:textId="77777777" w:rsidR="00DE10CF" w:rsidRPr="003D04B9" w:rsidRDefault="00DE10CF" w:rsidP="00C11F41">
            <w:pPr>
              <w:keepNext/>
              <w:keepLines/>
              <w:overflowPunct/>
              <w:autoSpaceDE/>
              <w:autoSpaceDN/>
              <w:adjustRightInd/>
              <w:spacing w:after="0"/>
              <w:textAlignment w:val="auto"/>
              <w:rPr>
                <w:rFonts w:ascii="Arial" w:eastAsia="MS Mincho" w:hAnsi="Arial"/>
                <w:sz w:val="18"/>
              </w:rPr>
            </w:pPr>
            <w:r w:rsidRPr="003D04B9">
              <w:rPr>
                <w:rFonts w:ascii="Arial" w:eastAsia="MS Mincho" w:hAnsi="Arial"/>
                <w:sz w:val="18"/>
              </w:rPr>
              <w:t>Time in handoff</w:t>
            </w:r>
          </w:p>
        </w:tc>
        <w:tc>
          <w:tcPr>
            <w:tcW w:w="1296" w:type="dxa"/>
            <w:shd w:val="clear" w:color="auto" w:fill="auto"/>
          </w:tcPr>
          <w:p w14:paraId="27C132EB" w14:textId="77777777" w:rsidR="00DE10CF" w:rsidRPr="003D04B9" w:rsidRDefault="00DE10CF" w:rsidP="00C11F41">
            <w:pPr>
              <w:keepNext/>
              <w:keepLines/>
              <w:overflowPunct/>
              <w:autoSpaceDE/>
              <w:autoSpaceDN/>
              <w:adjustRightInd/>
              <w:spacing w:after="0"/>
              <w:jc w:val="center"/>
              <w:textAlignment w:val="auto"/>
              <w:rPr>
                <w:rFonts w:ascii="Arial" w:eastAsia="MS Mincho" w:hAnsi="Arial"/>
                <w:sz w:val="18"/>
              </w:rPr>
            </w:pPr>
            <w:r w:rsidRPr="003D04B9">
              <w:rPr>
                <w:rFonts w:ascii="Arial" w:eastAsia="MS Mincho" w:hAnsi="Arial"/>
                <w:sz w:val="18"/>
              </w:rPr>
              <w:t>%</w:t>
            </w:r>
          </w:p>
        </w:tc>
        <w:tc>
          <w:tcPr>
            <w:tcW w:w="4596" w:type="dxa"/>
            <w:shd w:val="clear" w:color="auto" w:fill="auto"/>
            <w:tcMar>
              <w:top w:w="72" w:type="dxa"/>
              <w:left w:w="144" w:type="dxa"/>
              <w:bottom w:w="72" w:type="dxa"/>
              <w:right w:w="144" w:type="dxa"/>
            </w:tcMar>
          </w:tcPr>
          <w:p w14:paraId="39CB288E" w14:textId="36EE8BAD" w:rsidR="00DE10CF" w:rsidRPr="003D04B9" w:rsidRDefault="00DE10CF" w:rsidP="00C11F41">
            <w:pPr>
              <w:keepNext/>
              <w:keepLines/>
              <w:overflowPunct/>
              <w:autoSpaceDE/>
              <w:autoSpaceDN/>
              <w:adjustRightInd/>
              <w:spacing w:after="0"/>
              <w:textAlignment w:val="auto"/>
              <w:rPr>
                <w:rFonts w:ascii="Arial" w:eastAsia="MS Mincho" w:hAnsi="Arial"/>
                <w:sz w:val="18"/>
              </w:rPr>
            </w:pPr>
            <w:r w:rsidRPr="003D04B9">
              <w:rPr>
                <w:rFonts w:ascii="Arial" w:eastAsia="MS Mincho" w:hAnsi="Arial"/>
                <w:sz w:val="18"/>
              </w:rPr>
              <w:t>Fraction of time a UE is in HO procedure</w:t>
            </w:r>
            <w:r>
              <w:rPr>
                <w:rFonts w:ascii="Arial" w:eastAsia="MS Mincho" w:hAnsi="Arial"/>
                <w:sz w:val="18"/>
              </w:rPr>
              <w:t xml:space="preserve"> including time for successful HO (HO execution delay) and HOF (reestablishment delay)</w:t>
            </w:r>
          </w:p>
        </w:tc>
      </w:tr>
      <w:tr w:rsidR="00DE10CF" w:rsidRPr="003D04B9" w14:paraId="273A5A4B" w14:textId="77777777" w:rsidTr="00C11F41">
        <w:trPr>
          <w:cantSplit/>
        </w:trPr>
        <w:tc>
          <w:tcPr>
            <w:tcW w:w="2160" w:type="dxa"/>
            <w:shd w:val="clear" w:color="auto" w:fill="auto"/>
            <w:tcMar>
              <w:top w:w="72" w:type="dxa"/>
              <w:left w:w="144" w:type="dxa"/>
              <w:bottom w:w="72" w:type="dxa"/>
              <w:right w:w="144" w:type="dxa"/>
            </w:tcMar>
          </w:tcPr>
          <w:p w14:paraId="39E9E97F" w14:textId="77777777" w:rsidR="00DE10CF" w:rsidRPr="003D04B9" w:rsidRDefault="00DE10CF" w:rsidP="00C11F41">
            <w:pPr>
              <w:keepNext/>
              <w:keepLines/>
              <w:overflowPunct/>
              <w:autoSpaceDE/>
              <w:autoSpaceDN/>
              <w:adjustRightInd/>
              <w:spacing w:after="0"/>
              <w:textAlignment w:val="auto"/>
              <w:rPr>
                <w:rFonts w:ascii="Arial" w:eastAsia="MS Mincho" w:hAnsi="Arial"/>
                <w:sz w:val="18"/>
              </w:rPr>
            </w:pPr>
            <w:r w:rsidRPr="003D04B9">
              <w:rPr>
                <w:rFonts w:ascii="Arial" w:eastAsia="MS Mincho" w:hAnsi="Arial"/>
                <w:sz w:val="18"/>
              </w:rPr>
              <w:t>Time in Qout</w:t>
            </w:r>
          </w:p>
        </w:tc>
        <w:tc>
          <w:tcPr>
            <w:tcW w:w="1296" w:type="dxa"/>
            <w:shd w:val="clear" w:color="auto" w:fill="auto"/>
          </w:tcPr>
          <w:p w14:paraId="5DAF912A" w14:textId="77777777" w:rsidR="00DE10CF" w:rsidRPr="003D04B9" w:rsidRDefault="00DE10CF" w:rsidP="00C11F41">
            <w:pPr>
              <w:keepNext/>
              <w:keepLines/>
              <w:overflowPunct/>
              <w:autoSpaceDE/>
              <w:autoSpaceDN/>
              <w:adjustRightInd/>
              <w:spacing w:after="0"/>
              <w:jc w:val="center"/>
              <w:textAlignment w:val="auto"/>
              <w:rPr>
                <w:rFonts w:ascii="Arial" w:eastAsia="MS Mincho" w:hAnsi="Arial"/>
                <w:sz w:val="18"/>
              </w:rPr>
            </w:pPr>
            <w:r w:rsidRPr="003D04B9">
              <w:rPr>
                <w:rFonts w:ascii="Arial" w:eastAsia="MS Mincho" w:hAnsi="Arial"/>
                <w:sz w:val="18"/>
              </w:rPr>
              <w:t>%</w:t>
            </w:r>
          </w:p>
        </w:tc>
        <w:tc>
          <w:tcPr>
            <w:tcW w:w="4596" w:type="dxa"/>
            <w:shd w:val="clear" w:color="auto" w:fill="auto"/>
            <w:tcMar>
              <w:top w:w="72" w:type="dxa"/>
              <w:left w:w="144" w:type="dxa"/>
              <w:bottom w:w="72" w:type="dxa"/>
              <w:right w:w="144" w:type="dxa"/>
            </w:tcMar>
          </w:tcPr>
          <w:p w14:paraId="3360E4E8" w14:textId="77777777" w:rsidR="00DE10CF" w:rsidRPr="003D04B9" w:rsidRDefault="00DE10CF" w:rsidP="00C11F41">
            <w:pPr>
              <w:keepNext/>
              <w:keepLines/>
              <w:overflowPunct/>
              <w:autoSpaceDE/>
              <w:autoSpaceDN/>
              <w:adjustRightInd/>
              <w:spacing w:after="0"/>
              <w:textAlignment w:val="auto"/>
              <w:rPr>
                <w:rFonts w:ascii="Arial" w:eastAsia="MS Mincho" w:hAnsi="Arial"/>
                <w:sz w:val="18"/>
              </w:rPr>
            </w:pPr>
            <w:r w:rsidRPr="003D04B9">
              <w:rPr>
                <w:rFonts w:ascii="Arial" w:eastAsia="MS Mincho" w:hAnsi="Arial"/>
                <w:sz w:val="18"/>
              </w:rPr>
              <w:t>Fraction of time a UE is in Qout state</w:t>
            </w:r>
          </w:p>
        </w:tc>
      </w:tr>
      <w:tr w:rsidR="00DE10CF" w:rsidRPr="003D04B9" w14:paraId="1B514375" w14:textId="77777777" w:rsidTr="00C11F41">
        <w:trPr>
          <w:cantSplit/>
        </w:trPr>
        <w:tc>
          <w:tcPr>
            <w:tcW w:w="2160" w:type="dxa"/>
            <w:shd w:val="clear" w:color="auto" w:fill="auto"/>
            <w:tcMar>
              <w:top w:w="72" w:type="dxa"/>
              <w:left w:w="144" w:type="dxa"/>
              <w:bottom w:w="72" w:type="dxa"/>
              <w:right w:w="144" w:type="dxa"/>
            </w:tcMar>
          </w:tcPr>
          <w:p w14:paraId="04A6CA10" w14:textId="77777777" w:rsidR="00DE10CF" w:rsidRPr="003D04B9" w:rsidRDefault="00DE10CF" w:rsidP="00C11F41">
            <w:pPr>
              <w:keepNext/>
              <w:keepLines/>
              <w:overflowPunct/>
              <w:autoSpaceDE/>
              <w:autoSpaceDN/>
              <w:adjustRightInd/>
              <w:spacing w:after="0"/>
              <w:textAlignment w:val="auto"/>
              <w:rPr>
                <w:rFonts w:ascii="Arial" w:eastAsia="MS Mincho" w:hAnsi="Arial"/>
                <w:sz w:val="18"/>
              </w:rPr>
            </w:pPr>
            <w:r w:rsidRPr="003D04B9">
              <w:rPr>
                <w:rFonts w:ascii="Arial" w:eastAsia="MS Mincho" w:hAnsi="Arial"/>
                <w:sz w:val="18"/>
              </w:rPr>
              <w:t>Ping</w:t>
            </w:r>
            <w:r w:rsidRPr="003D04B9">
              <w:rPr>
                <w:rFonts w:ascii="Arial" w:eastAsia="MS Mincho" w:hAnsi="Arial" w:hint="eastAsia"/>
                <w:sz w:val="18"/>
                <w:lang w:eastAsia="ja-JP"/>
              </w:rPr>
              <w:t xml:space="preserve"> </w:t>
            </w:r>
            <w:r w:rsidRPr="003D04B9">
              <w:rPr>
                <w:rFonts w:ascii="Arial" w:eastAsia="MS Mincho" w:hAnsi="Arial"/>
                <w:sz w:val="18"/>
              </w:rPr>
              <w:t>pong rate</w:t>
            </w:r>
          </w:p>
          <w:p w14:paraId="0DA280FC" w14:textId="3BC2441A" w:rsidR="00DE10CF" w:rsidRPr="003D04B9" w:rsidRDefault="00DE10CF" w:rsidP="00C11F41">
            <w:pPr>
              <w:keepNext/>
              <w:keepLines/>
              <w:overflowPunct/>
              <w:autoSpaceDE/>
              <w:autoSpaceDN/>
              <w:adjustRightInd/>
              <w:spacing w:after="0"/>
              <w:textAlignment w:val="auto"/>
              <w:rPr>
                <w:rFonts w:ascii="Arial" w:eastAsia="MS Mincho" w:hAnsi="Arial"/>
                <w:sz w:val="18"/>
              </w:rPr>
            </w:pPr>
          </w:p>
        </w:tc>
        <w:tc>
          <w:tcPr>
            <w:tcW w:w="1296" w:type="dxa"/>
            <w:shd w:val="clear" w:color="auto" w:fill="auto"/>
          </w:tcPr>
          <w:p w14:paraId="2E3B0DBA" w14:textId="77777777" w:rsidR="00DE10CF" w:rsidRPr="003D04B9" w:rsidRDefault="00DE10CF" w:rsidP="00C11F41">
            <w:pPr>
              <w:keepNext/>
              <w:keepLines/>
              <w:overflowPunct/>
              <w:autoSpaceDE/>
              <w:autoSpaceDN/>
              <w:adjustRightInd/>
              <w:spacing w:after="0"/>
              <w:jc w:val="center"/>
              <w:textAlignment w:val="auto"/>
              <w:rPr>
                <w:rFonts w:ascii="Arial" w:eastAsia="MS Mincho" w:hAnsi="Arial"/>
                <w:sz w:val="18"/>
                <w:lang w:eastAsia="ja-JP"/>
              </w:rPr>
            </w:pPr>
            <w:r w:rsidRPr="003D04B9">
              <w:rPr>
                <w:rFonts w:ascii="Arial" w:eastAsia="MS Mincho" w:hAnsi="Arial" w:hint="eastAsia"/>
                <w:sz w:val="18"/>
                <w:lang w:eastAsia="ja-JP"/>
              </w:rPr>
              <w:t>%</w:t>
            </w:r>
          </w:p>
        </w:tc>
        <w:tc>
          <w:tcPr>
            <w:tcW w:w="4596" w:type="dxa"/>
            <w:shd w:val="clear" w:color="auto" w:fill="auto"/>
            <w:tcMar>
              <w:top w:w="72" w:type="dxa"/>
              <w:left w:w="144" w:type="dxa"/>
              <w:bottom w:w="72" w:type="dxa"/>
              <w:right w:w="144" w:type="dxa"/>
            </w:tcMar>
          </w:tcPr>
          <w:p w14:paraId="2A8A6BAB" w14:textId="77777777" w:rsidR="00DE10CF" w:rsidRPr="003D04B9" w:rsidRDefault="00DE10CF" w:rsidP="00C11F41">
            <w:pPr>
              <w:keepNext/>
              <w:keepLines/>
              <w:overflowPunct/>
              <w:autoSpaceDE/>
              <w:autoSpaceDN/>
              <w:adjustRightInd/>
              <w:spacing w:after="0"/>
              <w:textAlignment w:val="auto"/>
              <w:rPr>
                <w:rFonts w:ascii="Arial" w:eastAsia="MS Mincho" w:hAnsi="Arial"/>
                <w:sz w:val="18"/>
              </w:rPr>
            </w:pPr>
            <w:r w:rsidRPr="003D04B9">
              <w:rPr>
                <w:rFonts w:ascii="Arial" w:eastAsia="MS Mincho" w:hAnsi="Arial" w:hint="eastAsia"/>
                <w:sz w:val="18"/>
                <w:lang w:eastAsia="ja-JP"/>
              </w:rPr>
              <w:t>N</w:t>
            </w:r>
            <w:r w:rsidRPr="003D04B9">
              <w:rPr>
                <w:rFonts w:ascii="Arial" w:eastAsia="Malgun Gothic" w:hAnsi="Arial"/>
                <w:sz w:val="18"/>
                <w:lang w:eastAsia="ko-KR"/>
              </w:rPr>
              <w:t>umber of ping-pongs/</w:t>
            </w:r>
            <w:r w:rsidRPr="003D04B9">
              <w:rPr>
                <w:rFonts w:ascii="Arial" w:eastAsia="MS Mincho" w:hAnsi="Arial" w:hint="eastAsia"/>
                <w:sz w:val="18"/>
                <w:lang w:eastAsia="ja-JP"/>
              </w:rPr>
              <w:t>T</w:t>
            </w:r>
            <w:r w:rsidRPr="003D04B9">
              <w:rPr>
                <w:rFonts w:ascii="Arial" w:eastAsia="Malgun Gothic" w:hAnsi="Arial"/>
                <w:sz w:val="18"/>
                <w:lang w:eastAsia="ko-KR"/>
              </w:rPr>
              <w:t xml:space="preserve">otal number of successful handovers </w:t>
            </w:r>
            <w:r w:rsidRPr="003D04B9">
              <w:rPr>
                <w:rFonts w:ascii="Arial" w:eastAsia="MS Mincho" w:hAnsi="Arial" w:hint="eastAsia"/>
                <w:sz w:val="18"/>
                <w:lang w:eastAsia="ja-JP"/>
              </w:rPr>
              <w:t>(</w:t>
            </w:r>
            <w:r w:rsidRPr="003D04B9">
              <w:rPr>
                <w:rFonts w:ascii="Arial" w:eastAsia="Batang" w:hAnsi="Arial"/>
                <w:sz w:val="18"/>
                <w:lang w:eastAsia="ja-JP"/>
              </w:rPr>
              <w:t>excl</w:t>
            </w:r>
            <w:r w:rsidRPr="003D04B9">
              <w:rPr>
                <w:rFonts w:ascii="Arial" w:eastAsia="MS Mincho" w:hAnsi="Arial" w:hint="eastAsia"/>
                <w:sz w:val="18"/>
                <w:lang w:eastAsia="ja-JP"/>
              </w:rPr>
              <w:t>uding</w:t>
            </w:r>
            <w:r w:rsidRPr="003D04B9">
              <w:rPr>
                <w:rFonts w:ascii="Arial" w:eastAsia="Batang" w:hAnsi="Arial"/>
                <w:sz w:val="18"/>
                <w:lang w:eastAsia="ja-JP"/>
              </w:rPr>
              <w:t xml:space="preserve"> handover failures</w:t>
            </w:r>
            <w:r w:rsidRPr="003D04B9">
              <w:rPr>
                <w:rFonts w:ascii="Arial" w:eastAsia="Malgun Gothic" w:hAnsi="Arial"/>
                <w:sz w:val="18"/>
                <w:lang w:eastAsia="ko-KR"/>
              </w:rPr>
              <w:t>)</w:t>
            </w:r>
          </w:p>
        </w:tc>
      </w:tr>
    </w:tbl>
    <w:p w14:paraId="7059B89F" w14:textId="3D0CA479" w:rsidR="00DE10CF" w:rsidRDefault="00DE10CF" w:rsidP="00DE10CF"/>
    <w:p w14:paraId="0C8FFA87" w14:textId="65527761" w:rsidR="007556D7" w:rsidRDefault="00DF77D0" w:rsidP="00D42E8B">
      <w:pPr>
        <w:pStyle w:val="B-Body"/>
        <w:ind w:left="0"/>
        <w:jc w:val="both"/>
        <w:rPr>
          <w:sz w:val="20"/>
        </w:rPr>
      </w:pPr>
      <w:r>
        <w:rPr>
          <w:sz w:val="20"/>
        </w:rPr>
        <w:t>Figure 1</w:t>
      </w:r>
      <w:r w:rsidR="00711A1A" w:rsidRPr="00E3403A">
        <w:rPr>
          <w:sz w:val="20"/>
        </w:rPr>
        <w:t xml:space="preserve"> </w:t>
      </w:r>
      <w:r w:rsidR="00EE1DB2" w:rsidRPr="00E3403A">
        <w:rPr>
          <w:sz w:val="20"/>
        </w:rPr>
        <w:t xml:space="preserve">shows the </w:t>
      </w:r>
      <w:r w:rsidR="00F472D3">
        <w:rPr>
          <w:sz w:val="20"/>
        </w:rPr>
        <w:t xml:space="preserve">plots for all </w:t>
      </w:r>
      <w:r w:rsidR="007556D7">
        <w:rPr>
          <w:sz w:val="20"/>
        </w:rPr>
        <w:t>the</w:t>
      </w:r>
      <w:r w:rsidR="00F472D3">
        <w:rPr>
          <w:sz w:val="20"/>
        </w:rPr>
        <w:t xml:space="preserve"> KPIs for UMa</w:t>
      </w:r>
      <w:r w:rsidR="007F683F">
        <w:rPr>
          <w:sz w:val="20"/>
        </w:rPr>
        <w:t xml:space="preserve"> scenario</w:t>
      </w:r>
      <w:r w:rsidR="00EE1DB2" w:rsidRPr="00E3403A">
        <w:rPr>
          <w:sz w:val="20"/>
        </w:rPr>
        <w:t xml:space="preserve">. </w:t>
      </w:r>
    </w:p>
    <w:p w14:paraId="595239A5" w14:textId="152B6568" w:rsidR="00441002" w:rsidRDefault="00441002">
      <w:pPr>
        <w:overflowPunct/>
        <w:autoSpaceDE/>
        <w:autoSpaceDN/>
        <w:adjustRightInd/>
        <w:spacing w:after="0"/>
        <w:textAlignment w:val="auto"/>
      </w:pPr>
      <w:r>
        <w:br w:type="page"/>
      </w:r>
    </w:p>
    <w:p w14:paraId="6C0FA6BE" w14:textId="77777777" w:rsidR="00441002" w:rsidRDefault="00441002">
      <w:pPr>
        <w:overflowPunct/>
        <w:autoSpaceDE/>
        <w:autoSpaceDN/>
        <w:adjustRightInd/>
        <w:spacing w:after="0"/>
        <w:textAlignment w:val="auto"/>
        <w:rPr>
          <w:rFonts w:eastAsia="SimSun"/>
          <w:sz w:val="22"/>
          <w:lang w:val="en-US"/>
        </w:rPr>
      </w:pPr>
    </w:p>
    <w:p w14:paraId="12B08872" w14:textId="3D39467F" w:rsidR="004F166C" w:rsidRDefault="0025219A" w:rsidP="00D2408B">
      <w:pPr>
        <w:pStyle w:val="B-Body"/>
        <w:keepNext/>
        <w:ind w:left="0"/>
        <w:jc w:val="center"/>
      </w:pPr>
      <w:r w:rsidRPr="0025219A">
        <w:rPr>
          <w:noProof/>
          <w:sz w:val="20"/>
        </w:rPr>
        <w:drawing>
          <wp:inline distT="0" distB="0" distL="0" distR="0" wp14:anchorId="1D000C87" wp14:editId="33736C80">
            <wp:extent cx="5639070" cy="704206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l="6242" t="5418" r="8697" b="4680"/>
                    <a:stretch/>
                  </pic:blipFill>
                  <pic:spPr bwMode="auto">
                    <a:xfrm>
                      <a:off x="0" y="0"/>
                      <a:ext cx="5651959" cy="7058163"/>
                    </a:xfrm>
                    <a:prstGeom prst="rect">
                      <a:avLst/>
                    </a:prstGeom>
                    <a:noFill/>
                    <a:ln>
                      <a:noFill/>
                    </a:ln>
                    <a:extLst>
                      <a:ext uri="{53640926-AAD7-44D8-BBD7-CCE9431645EC}">
                        <a14:shadowObscured xmlns:a14="http://schemas.microsoft.com/office/drawing/2010/main"/>
                      </a:ext>
                    </a:extLst>
                  </pic:spPr>
                </pic:pic>
              </a:graphicData>
            </a:graphic>
          </wp:inline>
        </w:drawing>
      </w:r>
    </w:p>
    <w:p w14:paraId="0F12D88C" w14:textId="3A65D352" w:rsidR="0025219A" w:rsidRDefault="004F166C" w:rsidP="004F166C">
      <w:pPr>
        <w:pStyle w:val="Caption"/>
      </w:pPr>
      <w:r>
        <w:t xml:space="preserve">Figure </w:t>
      </w:r>
      <w:r>
        <w:fldChar w:fldCharType="begin"/>
      </w:r>
      <w:r>
        <w:instrText xml:space="preserve"> SEQ Figure \* ARABIC </w:instrText>
      </w:r>
      <w:r>
        <w:fldChar w:fldCharType="separate"/>
      </w:r>
      <w:r w:rsidR="00A201F5">
        <w:rPr>
          <w:noProof/>
        </w:rPr>
        <w:t>1</w:t>
      </w:r>
      <w:r>
        <w:fldChar w:fldCharType="end"/>
      </w:r>
      <w:r>
        <w:t>. UMa</w:t>
      </w:r>
    </w:p>
    <w:p w14:paraId="7CCA0032" w14:textId="14732080" w:rsidR="00974D15" w:rsidRDefault="00C911BF" w:rsidP="00D42E8B">
      <w:pPr>
        <w:pStyle w:val="B-Body"/>
        <w:ind w:left="0"/>
        <w:jc w:val="both"/>
        <w:rPr>
          <w:sz w:val="20"/>
        </w:rPr>
      </w:pPr>
      <w:r>
        <w:rPr>
          <w:sz w:val="20"/>
        </w:rPr>
        <w:t>Observations from F</w:t>
      </w:r>
      <w:r w:rsidR="002933B7">
        <w:rPr>
          <w:sz w:val="20"/>
        </w:rPr>
        <w:t>igure 1</w:t>
      </w:r>
      <w:r w:rsidR="00EB6FEA">
        <w:rPr>
          <w:sz w:val="20"/>
        </w:rPr>
        <w:t xml:space="preserve"> (UMa Scenario)</w:t>
      </w:r>
      <w:r w:rsidR="002933B7">
        <w:rPr>
          <w:sz w:val="20"/>
        </w:rPr>
        <w:t>:</w:t>
      </w:r>
    </w:p>
    <w:p w14:paraId="139ECB9C" w14:textId="7BCAD877" w:rsidR="002933B7" w:rsidRDefault="002933B7" w:rsidP="002933B7">
      <w:pPr>
        <w:pStyle w:val="B-Body"/>
        <w:numPr>
          <w:ilvl w:val="0"/>
          <w:numId w:val="17"/>
        </w:numPr>
        <w:jc w:val="both"/>
        <w:rPr>
          <w:sz w:val="20"/>
        </w:rPr>
      </w:pPr>
      <w:r>
        <w:rPr>
          <w:sz w:val="20"/>
        </w:rPr>
        <w:t>HO</w:t>
      </w:r>
      <w:r w:rsidR="007556D7">
        <w:rPr>
          <w:sz w:val="20"/>
        </w:rPr>
        <w:t xml:space="preserve"> </w:t>
      </w:r>
      <w:r>
        <w:rPr>
          <w:sz w:val="20"/>
        </w:rPr>
        <w:t>rate</w:t>
      </w:r>
      <w:r w:rsidR="006B2247">
        <w:rPr>
          <w:sz w:val="20"/>
        </w:rPr>
        <w:t xml:space="preserve"> (attempts)</w:t>
      </w:r>
      <w:r>
        <w:rPr>
          <w:sz w:val="20"/>
        </w:rPr>
        <w:t xml:space="preserve"> in</w:t>
      </w:r>
      <w:r w:rsidR="00B01059">
        <w:rPr>
          <w:sz w:val="20"/>
        </w:rPr>
        <w:t>crease</w:t>
      </w:r>
      <w:r w:rsidR="008136BE">
        <w:rPr>
          <w:sz w:val="20"/>
        </w:rPr>
        <w:t>s</w:t>
      </w:r>
      <w:r w:rsidR="005B492F">
        <w:rPr>
          <w:sz w:val="20"/>
        </w:rPr>
        <w:t xml:space="preserve"> with increase in speed as</w:t>
      </w:r>
      <w:r w:rsidR="00B01059">
        <w:rPr>
          <w:sz w:val="20"/>
        </w:rPr>
        <w:t xml:space="preserve"> expected.</w:t>
      </w:r>
    </w:p>
    <w:p w14:paraId="7D118535" w14:textId="50E4FB62" w:rsidR="00F9223F" w:rsidRDefault="00F9223F" w:rsidP="002933B7">
      <w:pPr>
        <w:pStyle w:val="B-Body"/>
        <w:numPr>
          <w:ilvl w:val="0"/>
          <w:numId w:val="17"/>
        </w:numPr>
        <w:jc w:val="both"/>
        <w:rPr>
          <w:sz w:val="20"/>
        </w:rPr>
      </w:pPr>
      <w:r>
        <w:rPr>
          <w:sz w:val="20"/>
        </w:rPr>
        <w:lastRenderedPageBreak/>
        <w:t xml:space="preserve">HO rates are lower for </w:t>
      </w:r>
      <w:r w:rsidR="009822A0">
        <w:rPr>
          <w:sz w:val="20"/>
        </w:rPr>
        <w:t>UAVs</w:t>
      </w:r>
      <w:r>
        <w:rPr>
          <w:sz w:val="20"/>
        </w:rPr>
        <w:t xml:space="preserve"> at lower speed compared to terrestrial UEs, but higher for </w:t>
      </w:r>
      <w:r w:rsidR="009822A0">
        <w:rPr>
          <w:sz w:val="20"/>
        </w:rPr>
        <w:t>UAVs</w:t>
      </w:r>
      <w:r>
        <w:rPr>
          <w:sz w:val="20"/>
        </w:rPr>
        <w:t xml:space="preserve"> compared to terrestrial UE</w:t>
      </w:r>
      <w:r w:rsidR="006B2247">
        <w:rPr>
          <w:sz w:val="20"/>
        </w:rPr>
        <w:t>s</w:t>
      </w:r>
      <w:r>
        <w:rPr>
          <w:sz w:val="20"/>
        </w:rPr>
        <w:t xml:space="preserve"> at </w:t>
      </w:r>
      <w:r w:rsidR="00F40C60">
        <w:rPr>
          <w:sz w:val="20"/>
        </w:rPr>
        <w:t>the maximum</w:t>
      </w:r>
      <w:r>
        <w:rPr>
          <w:sz w:val="20"/>
        </w:rPr>
        <w:t xml:space="preserve"> </w:t>
      </w:r>
      <w:r w:rsidR="006B2247">
        <w:rPr>
          <w:sz w:val="20"/>
        </w:rPr>
        <w:t xml:space="preserve">considered </w:t>
      </w:r>
      <w:r>
        <w:rPr>
          <w:sz w:val="20"/>
        </w:rPr>
        <w:t>speed.</w:t>
      </w:r>
    </w:p>
    <w:p w14:paraId="3A0F6ECB" w14:textId="33070DB1" w:rsidR="002933B7" w:rsidRDefault="00B01059" w:rsidP="002933B7">
      <w:pPr>
        <w:pStyle w:val="B-Body"/>
        <w:numPr>
          <w:ilvl w:val="0"/>
          <w:numId w:val="17"/>
        </w:numPr>
        <w:jc w:val="both"/>
        <w:rPr>
          <w:sz w:val="20"/>
        </w:rPr>
      </w:pPr>
      <w:r>
        <w:rPr>
          <w:sz w:val="20"/>
        </w:rPr>
        <w:t>HOF rates are much lower for UAVs at low</w:t>
      </w:r>
      <w:r w:rsidR="006B2247">
        <w:rPr>
          <w:sz w:val="20"/>
        </w:rPr>
        <w:t>er</w:t>
      </w:r>
      <w:r>
        <w:rPr>
          <w:sz w:val="20"/>
        </w:rPr>
        <w:t xml:space="preserve"> sp</w:t>
      </w:r>
      <w:r w:rsidR="006B2247">
        <w:rPr>
          <w:sz w:val="20"/>
        </w:rPr>
        <w:t>eed compared to terrestrial UEs. HOF rates</w:t>
      </w:r>
      <w:r>
        <w:rPr>
          <w:sz w:val="20"/>
        </w:rPr>
        <w:t xml:space="preserve"> </w:t>
      </w:r>
      <w:r w:rsidR="005B492F">
        <w:rPr>
          <w:sz w:val="20"/>
        </w:rPr>
        <w:t xml:space="preserve">increase with speed and are </w:t>
      </w:r>
      <w:r w:rsidR="00F9223F">
        <w:rPr>
          <w:sz w:val="20"/>
        </w:rPr>
        <w:t xml:space="preserve">within </w:t>
      </w:r>
      <w:r>
        <w:rPr>
          <w:sz w:val="20"/>
        </w:rPr>
        <w:t>comparable</w:t>
      </w:r>
      <w:r w:rsidR="00F9223F">
        <w:rPr>
          <w:sz w:val="20"/>
        </w:rPr>
        <w:t xml:space="preserve"> range</w:t>
      </w:r>
      <w:r>
        <w:rPr>
          <w:sz w:val="20"/>
        </w:rPr>
        <w:t xml:space="preserve"> at medium speed and slightly higher for UAVs at high speed.</w:t>
      </w:r>
    </w:p>
    <w:p w14:paraId="63654716" w14:textId="1AB9C55B" w:rsidR="005B492F" w:rsidRDefault="005B492F" w:rsidP="002933B7">
      <w:pPr>
        <w:pStyle w:val="B-Body"/>
        <w:numPr>
          <w:ilvl w:val="0"/>
          <w:numId w:val="17"/>
        </w:numPr>
        <w:jc w:val="both"/>
        <w:rPr>
          <w:sz w:val="20"/>
        </w:rPr>
      </w:pPr>
      <w:r>
        <w:rPr>
          <w:sz w:val="20"/>
        </w:rPr>
        <w:t xml:space="preserve">RLF increases significantly with speed. UAVs in general suffer higher RLF than terrestrial UEs. </w:t>
      </w:r>
    </w:p>
    <w:p w14:paraId="63D4EA9B" w14:textId="46683F89" w:rsidR="005B492F" w:rsidRDefault="005B492F" w:rsidP="002933B7">
      <w:pPr>
        <w:pStyle w:val="B-Body"/>
        <w:numPr>
          <w:ilvl w:val="0"/>
          <w:numId w:val="17"/>
        </w:numPr>
        <w:jc w:val="both"/>
        <w:rPr>
          <w:sz w:val="20"/>
        </w:rPr>
      </w:pPr>
      <w:r>
        <w:rPr>
          <w:sz w:val="20"/>
        </w:rPr>
        <w:t>Ping-pong rates go down with increase in speed. Terrestrial UEs suffer higher ping-pong compared to UAVs in general (except for very high speed). The ping-pong rates for UAVs are almost half compared to grand UEs for low to moderate speed. This is expected to be because of direct LOS for UAVs and more NLOS for terrestrial UEs.</w:t>
      </w:r>
    </w:p>
    <w:p w14:paraId="7B8F1CD0" w14:textId="61C6EE27" w:rsidR="00B21BD2" w:rsidRDefault="005B492F" w:rsidP="002933B7">
      <w:pPr>
        <w:pStyle w:val="B-Body"/>
        <w:numPr>
          <w:ilvl w:val="0"/>
          <w:numId w:val="17"/>
        </w:numPr>
        <w:jc w:val="both"/>
        <w:rPr>
          <w:sz w:val="20"/>
        </w:rPr>
      </w:pPr>
      <w:r>
        <w:rPr>
          <w:sz w:val="20"/>
        </w:rPr>
        <w:t>Time in Handoff</w:t>
      </w:r>
      <w:r w:rsidR="00B21BD2">
        <w:rPr>
          <w:sz w:val="20"/>
        </w:rPr>
        <w:t xml:space="preserve"> and Time in Qout are</w:t>
      </w:r>
      <w:r w:rsidR="005C54C8">
        <w:rPr>
          <w:sz w:val="20"/>
        </w:rPr>
        <w:t xml:space="preserve"> lower for UAVs at low speed, comparable to </w:t>
      </w:r>
      <w:r w:rsidR="00B21BD2">
        <w:rPr>
          <w:sz w:val="20"/>
        </w:rPr>
        <w:t>terrestrial UEs for medium speeds and higher for UAVs at high speed.</w:t>
      </w:r>
    </w:p>
    <w:p w14:paraId="59C3E8C8" w14:textId="2E220512" w:rsidR="000E257C" w:rsidRDefault="000E257C" w:rsidP="002933B7">
      <w:pPr>
        <w:pStyle w:val="B-Body"/>
        <w:numPr>
          <w:ilvl w:val="0"/>
          <w:numId w:val="17"/>
        </w:numPr>
        <w:jc w:val="both"/>
        <w:rPr>
          <w:sz w:val="20"/>
        </w:rPr>
      </w:pPr>
      <w:r>
        <w:rPr>
          <w:sz w:val="20"/>
        </w:rPr>
        <w:t xml:space="preserve">In terms of comparison of </w:t>
      </w:r>
      <w:r w:rsidR="00497CE1">
        <w:rPr>
          <w:sz w:val="20"/>
        </w:rPr>
        <w:t>UEs at different</w:t>
      </w:r>
      <w:r w:rsidR="006B2247">
        <w:rPr>
          <w:sz w:val="20"/>
        </w:rPr>
        <w:t xml:space="preserve"> </w:t>
      </w:r>
      <w:r>
        <w:rPr>
          <w:sz w:val="20"/>
        </w:rPr>
        <w:t xml:space="preserve">heights for </w:t>
      </w:r>
      <w:r w:rsidR="006B2247">
        <w:rPr>
          <w:sz w:val="20"/>
        </w:rPr>
        <w:t>the same speed, in general</w:t>
      </w:r>
      <w:r>
        <w:rPr>
          <w:sz w:val="20"/>
        </w:rPr>
        <w:t xml:space="preserve"> the mobility performance is worse for UAVs when the height is in</w:t>
      </w:r>
      <w:r w:rsidR="006B2247">
        <w:rPr>
          <w:sz w:val="20"/>
        </w:rPr>
        <w:t xml:space="preserve"> the mid range. This is possibly due to the nulls</w:t>
      </w:r>
      <w:r>
        <w:rPr>
          <w:sz w:val="20"/>
        </w:rPr>
        <w:t xml:space="preserve"> </w:t>
      </w:r>
      <w:r w:rsidR="006B2247">
        <w:rPr>
          <w:sz w:val="20"/>
        </w:rPr>
        <w:t>in-</w:t>
      </w:r>
      <w:r>
        <w:rPr>
          <w:sz w:val="20"/>
        </w:rPr>
        <w:t xml:space="preserve">between different vertical lobes of antenna as </w:t>
      </w:r>
      <w:r w:rsidR="006B2247">
        <w:rPr>
          <w:sz w:val="20"/>
        </w:rPr>
        <w:t xml:space="preserve">previously </w:t>
      </w:r>
      <w:r>
        <w:rPr>
          <w:sz w:val="20"/>
        </w:rPr>
        <w:t>illustrated by different companies (e.g., [</w:t>
      </w:r>
      <w:r w:rsidR="007F683F">
        <w:rPr>
          <w:sz w:val="20"/>
        </w:rPr>
        <w:t>2</w:t>
      </w:r>
      <w:r>
        <w:rPr>
          <w:sz w:val="20"/>
        </w:rPr>
        <w:t>])</w:t>
      </w:r>
      <w:r w:rsidR="006B2247">
        <w:rPr>
          <w:sz w:val="20"/>
        </w:rPr>
        <w:t xml:space="preserve"> where a UE may be</w:t>
      </w:r>
      <w:r w:rsidR="007F683F">
        <w:rPr>
          <w:sz w:val="20"/>
        </w:rPr>
        <w:t xml:space="preserve"> served by </w:t>
      </w:r>
      <w:r w:rsidR="006B2247">
        <w:rPr>
          <w:sz w:val="20"/>
        </w:rPr>
        <w:t xml:space="preserve">a </w:t>
      </w:r>
      <w:r w:rsidR="007F683F">
        <w:rPr>
          <w:sz w:val="20"/>
        </w:rPr>
        <w:t>side lobe of a far cell instead of</w:t>
      </w:r>
      <w:r w:rsidR="006B2247">
        <w:rPr>
          <w:sz w:val="20"/>
        </w:rPr>
        <w:t xml:space="preserve"> the</w:t>
      </w:r>
      <w:r w:rsidR="007F683F">
        <w:rPr>
          <w:sz w:val="20"/>
        </w:rPr>
        <w:t xml:space="preserve"> main lobe of a near cell</w:t>
      </w:r>
      <w:r>
        <w:rPr>
          <w:sz w:val="20"/>
        </w:rPr>
        <w:t>.</w:t>
      </w:r>
    </w:p>
    <w:p w14:paraId="17DDB947" w14:textId="453E1AE8" w:rsidR="00974D15" w:rsidRDefault="00974D15" w:rsidP="00D42E8B">
      <w:pPr>
        <w:pStyle w:val="B-Body"/>
        <w:ind w:left="0"/>
        <w:jc w:val="both"/>
        <w:rPr>
          <w:sz w:val="20"/>
        </w:rPr>
      </w:pPr>
    </w:p>
    <w:p w14:paraId="2E87A285" w14:textId="77777777" w:rsidR="008136BE" w:rsidRDefault="008136BE">
      <w:pPr>
        <w:overflowPunct/>
        <w:autoSpaceDE/>
        <w:autoSpaceDN/>
        <w:adjustRightInd/>
        <w:spacing w:after="0"/>
        <w:textAlignment w:val="auto"/>
        <w:rPr>
          <w:rFonts w:eastAsia="SimSun"/>
          <w:lang w:val="en-US"/>
        </w:rPr>
      </w:pPr>
      <w:r>
        <w:br w:type="page"/>
      </w:r>
    </w:p>
    <w:p w14:paraId="03428F73" w14:textId="5C83274D" w:rsidR="007556D7" w:rsidRDefault="007556D7" w:rsidP="007556D7">
      <w:pPr>
        <w:pStyle w:val="B-Body"/>
        <w:ind w:left="0"/>
        <w:jc w:val="both"/>
        <w:rPr>
          <w:sz w:val="20"/>
        </w:rPr>
      </w:pPr>
      <w:r>
        <w:rPr>
          <w:sz w:val="20"/>
        </w:rPr>
        <w:lastRenderedPageBreak/>
        <w:t xml:space="preserve">Figure 2 </w:t>
      </w:r>
      <w:r w:rsidRPr="00E3403A">
        <w:rPr>
          <w:sz w:val="20"/>
        </w:rPr>
        <w:t xml:space="preserve">shows the </w:t>
      </w:r>
      <w:r>
        <w:rPr>
          <w:sz w:val="20"/>
        </w:rPr>
        <w:t xml:space="preserve">plots for all the KPIs for RMa </w:t>
      </w:r>
      <w:r w:rsidR="00EB6FEA">
        <w:rPr>
          <w:sz w:val="20"/>
        </w:rPr>
        <w:t>scenario</w:t>
      </w:r>
      <w:r w:rsidRPr="00E3403A">
        <w:rPr>
          <w:sz w:val="20"/>
        </w:rPr>
        <w:t xml:space="preserve">. </w:t>
      </w:r>
    </w:p>
    <w:p w14:paraId="11626EAE" w14:textId="77777777" w:rsidR="002942D1" w:rsidRDefault="00EB6FEA" w:rsidP="002942D1">
      <w:pPr>
        <w:pStyle w:val="B-Body"/>
        <w:keepNext/>
        <w:ind w:left="0"/>
        <w:jc w:val="center"/>
      </w:pPr>
      <w:r w:rsidRPr="00EB6FEA">
        <w:rPr>
          <w:noProof/>
          <w:sz w:val="20"/>
        </w:rPr>
        <w:drawing>
          <wp:inline distT="0" distB="0" distL="0" distR="0" wp14:anchorId="4265CDF0" wp14:editId="3799F443">
            <wp:extent cx="5623327" cy="7203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l="4935" t="5030" r="8704" b="5825"/>
                    <a:stretch/>
                  </pic:blipFill>
                  <pic:spPr bwMode="auto">
                    <a:xfrm>
                      <a:off x="0" y="0"/>
                      <a:ext cx="5636042" cy="7219728"/>
                    </a:xfrm>
                    <a:prstGeom prst="rect">
                      <a:avLst/>
                    </a:prstGeom>
                    <a:noFill/>
                    <a:ln>
                      <a:noFill/>
                    </a:ln>
                    <a:extLst>
                      <a:ext uri="{53640926-AAD7-44D8-BBD7-CCE9431645EC}">
                        <a14:shadowObscured xmlns:a14="http://schemas.microsoft.com/office/drawing/2010/main"/>
                      </a:ext>
                    </a:extLst>
                  </pic:spPr>
                </pic:pic>
              </a:graphicData>
            </a:graphic>
          </wp:inline>
        </w:drawing>
      </w:r>
    </w:p>
    <w:p w14:paraId="71F47459" w14:textId="429EDFC3" w:rsidR="00EB6FEA" w:rsidRDefault="002942D1" w:rsidP="002942D1">
      <w:pPr>
        <w:pStyle w:val="Caption"/>
      </w:pPr>
      <w:r>
        <w:t xml:space="preserve">Figure </w:t>
      </w:r>
      <w:r>
        <w:fldChar w:fldCharType="begin"/>
      </w:r>
      <w:r>
        <w:instrText xml:space="preserve"> SEQ Figure \* ARABIC </w:instrText>
      </w:r>
      <w:r>
        <w:fldChar w:fldCharType="separate"/>
      </w:r>
      <w:r w:rsidR="00A201F5">
        <w:rPr>
          <w:noProof/>
        </w:rPr>
        <w:t>2</w:t>
      </w:r>
      <w:r>
        <w:fldChar w:fldCharType="end"/>
      </w:r>
      <w:r w:rsidR="00DF77D0">
        <w:t>.</w:t>
      </w:r>
      <w:r>
        <w:t xml:space="preserve"> RMa</w:t>
      </w:r>
    </w:p>
    <w:p w14:paraId="6E8B05D0" w14:textId="76380E26" w:rsidR="00C911BF" w:rsidRDefault="00C911BF" w:rsidP="00C911BF">
      <w:pPr>
        <w:pStyle w:val="B-Body"/>
        <w:ind w:left="0"/>
        <w:jc w:val="both"/>
        <w:rPr>
          <w:sz w:val="20"/>
        </w:rPr>
      </w:pPr>
      <w:r>
        <w:rPr>
          <w:sz w:val="20"/>
        </w:rPr>
        <w:t>Observations from Figure 2 (RMa Scenario):</w:t>
      </w:r>
    </w:p>
    <w:p w14:paraId="666B0142" w14:textId="55897B09" w:rsidR="00C911BF" w:rsidRPr="00BA2A54" w:rsidRDefault="00C911BF" w:rsidP="00871F97">
      <w:pPr>
        <w:pStyle w:val="B-Body"/>
        <w:numPr>
          <w:ilvl w:val="0"/>
          <w:numId w:val="19"/>
        </w:numPr>
        <w:jc w:val="both"/>
        <w:rPr>
          <w:sz w:val="20"/>
        </w:rPr>
      </w:pPr>
      <w:r w:rsidRPr="00BA2A54">
        <w:rPr>
          <w:sz w:val="20"/>
        </w:rPr>
        <w:t>Similar t</w:t>
      </w:r>
      <w:r w:rsidR="008136BE">
        <w:rPr>
          <w:sz w:val="20"/>
        </w:rPr>
        <w:t>o UMa, HO attempt rate increases</w:t>
      </w:r>
      <w:r w:rsidRPr="00BA2A54">
        <w:rPr>
          <w:sz w:val="20"/>
        </w:rPr>
        <w:t xml:space="preserve"> with increase in speed as expected.</w:t>
      </w:r>
      <w:r w:rsidR="00BA2A54" w:rsidRPr="00BA2A54">
        <w:rPr>
          <w:sz w:val="20"/>
        </w:rPr>
        <w:t xml:space="preserve"> The HO rates for RMa are lower than UMa due to different ISD.</w:t>
      </w:r>
    </w:p>
    <w:p w14:paraId="321C3531" w14:textId="561B5002" w:rsidR="00C911BF" w:rsidRDefault="00C911BF" w:rsidP="00C911BF">
      <w:pPr>
        <w:pStyle w:val="B-Body"/>
        <w:numPr>
          <w:ilvl w:val="0"/>
          <w:numId w:val="19"/>
        </w:numPr>
        <w:jc w:val="both"/>
        <w:rPr>
          <w:sz w:val="20"/>
        </w:rPr>
      </w:pPr>
      <w:r>
        <w:rPr>
          <w:sz w:val="20"/>
        </w:rPr>
        <w:lastRenderedPageBreak/>
        <w:t>Unlike UMa, HO rates are generally higher for UAVs for all considered speeds in RMa</w:t>
      </w:r>
      <w:r w:rsidR="008136BE">
        <w:rPr>
          <w:sz w:val="20"/>
        </w:rPr>
        <w:t xml:space="preserve"> scenario</w:t>
      </w:r>
      <w:r>
        <w:rPr>
          <w:sz w:val="20"/>
        </w:rPr>
        <w:t>.</w:t>
      </w:r>
    </w:p>
    <w:p w14:paraId="7F316812" w14:textId="01EF68F2" w:rsidR="00C911BF" w:rsidRDefault="00C911BF" w:rsidP="00C911BF">
      <w:pPr>
        <w:pStyle w:val="B-Body"/>
        <w:numPr>
          <w:ilvl w:val="0"/>
          <w:numId w:val="19"/>
        </w:numPr>
        <w:jc w:val="both"/>
        <w:rPr>
          <w:sz w:val="20"/>
        </w:rPr>
      </w:pPr>
      <w:r>
        <w:rPr>
          <w:sz w:val="20"/>
        </w:rPr>
        <w:t xml:space="preserve">Unlike UMa, HOF rates in RMa </w:t>
      </w:r>
      <w:r w:rsidR="008136BE">
        <w:rPr>
          <w:sz w:val="20"/>
        </w:rPr>
        <w:t xml:space="preserve">highly </w:t>
      </w:r>
      <w:r>
        <w:rPr>
          <w:sz w:val="20"/>
        </w:rPr>
        <w:t>depend</w:t>
      </w:r>
      <w:r w:rsidR="008136BE">
        <w:rPr>
          <w:sz w:val="20"/>
        </w:rPr>
        <w:t xml:space="preserve"> on height. E.g., the difference</w:t>
      </w:r>
      <w:r>
        <w:rPr>
          <w:sz w:val="20"/>
        </w:rPr>
        <w:t xml:space="preserve"> between the HOF rate for </w:t>
      </w:r>
      <w:r w:rsidR="00BA2A54">
        <w:rPr>
          <w:sz w:val="20"/>
        </w:rPr>
        <w:t xml:space="preserve">50m and 100m are higher in RMa than in UMa. </w:t>
      </w:r>
    </w:p>
    <w:p w14:paraId="2572817D" w14:textId="78EF38F2" w:rsidR="00C911BF" w:rsidRDefault="00BA2A54" w:rsidP="00C911BF">
      <w:pPr>
        <w:pStyle w:val="B-Body"/>
        <w:numPr>
          <w:ilvl w:val="0"/>
          <w:numId w:val="19"/>
        </w:numPr>
        <w:jc w:val="both"/>
        <w:rPr>
          <w:sz w:val="20"/>
        </w:rPr>
      </w:pPr>
      <w:r>
        <w:rPr>
          <w:sz w:val="20"/>
        </w:rPr>
        <w:t xml:space="preserve">Similar to UMa, </w:t>
      </w:r>
      <w:r w:rsidR="00C911BF">
        <w:rPr>
          <w:sz w:val="20"/>
        </w:rPr>
        <w:t xml:space="preserve">RLF increases significantly with </w:t>
      </w:r>
      <w:r w:rsidR="008136BE">
        <w:rPr>
          <w:sz w:val="20"/>
        </w:rPr>
        <w:t xml:space="preserve">the UE </w:t>
      </w:r>
      <w:r w:rsidR="00C911BF">
        <w:rPr>
          <w:sz w:val="20"/>
        </w:rPr>
        <w:t>speed</w:t>
      </w:r>
      <w:r>
        <w:rPr>
          <w:sz w:val="20"/>
        </w:rPr>
        <w:t xml:space="preserve"> in RMa</w:t>
      </w:r>
      <w:r w:rsidR="00C911BF">
        <w:rPr>
          <w:sz w:val="20"/>
        </w:rPr>
        <w:t>.</w:t>
      </w:r>
      <w:r>
        <w:rPr>
          <w:sz w:val="20"/>
        </w:rPr>
        <w:t xml:space="preserve"> However, unlike UMa, at the highest considered speed, the RLF </w:t>
      </w:r>
      <w:r w:rsidR="008136BE">
        <w:rPr>
          <w:sz w:val="20"/>
        </w:rPr>
        <w:t xml:space="preserve">rate </w:t>
      </w:r>
      <w:r>
        <w:rPr>
          <w:sz w:val="20"/>
        </w:rPr>
        <w:t xml:space="preserve">for </w:t>
      </w:r>
      <w:r w:rsidR="008136BE">
        <w:rPr>
          <w:sz w:val="20"/>
        </w:rPr>
        <w:t>UAVs</w:t>
      </w:r>
      <w:r w:rsidR="008136BE">
        <w:rPr>
          <w:sz w:val="20"/>
        </w:rPr>
        <w:t xml:space="preserve"> with </w:t>
      </w:r>
      <w:r>
        <w:rPr>
          <w:sz w:val="20"/>
        </w:rPr>
        <w:t>medium height</w:t>
      </w:r>
      <w:r w:rsidR="008136BE">
        <w:rPr>
          <w:sz w:val="20"/>
        </w:rPr>
        <w:t xml:space="preserve"> (100m AGL)</w:t>
      </w:r>
      <w:r>
        <w:rPr>
          <w:sz w:val="20"/>
        </w:rPr>
        <w:t xml:space="preserve"> is significantly higher than</w:t>
      </w:r>
      <w:r w:rsidR="008136BE">
        <w:rPr>
          <w:sz w:val="20"/>
        </w:rPr>
        <w:t xml:space="preserve"> that for</w:t>
      </w:r>
      <w:r w:rsidR="00C911BF">
        <w:rPr>
          <w:sz w:val="20"/>
        </w:rPr>
        <w:t xml:space="preserve"> UAVs </w:t>
      </w:r>
      <w:r>
        <w:rPr>
          <w:sz w:val="20"/>
        </w:rPr>
        <w:t xml:space="preserve">at lower or </w:t>
      </w:r>
      <w:r w:rsidR="008136BE">
        <w:rPr>
          <w:sz w:val="20"/>
        </w:rPr>
        <w:t xml:space="preserve">much </w:t>
      </w:r>
      <w:r>
        <w:rPr>
          <w:sz w:val="20"/>
        </w:rPr>
        <w:t xml:space="preserve">higher altitudes. This </w:t>
      </w:r>
      <w:r w:rsidR="007F683F">
        <w:rPr>
          <w:sz w:val="20"/>
        </w:rPr>
        <w:t>could</w:t>
      </w:r>
      <w:r>
        <w:rPr>
          <w:sz w:val="20"/>
        </w:rPr>
        <w:t xml:space="preserve"> also be due to the vertical antenna </w:t>
      </w:r>
      <w:r w:rsidR="007F683F">
        <w:rPr>
          <w:sz w:val="20"/>
        </w:rPr>
        <w:t>pattern (UE being served by sidelobe of far cell)</w:t>
      </w:r>
      <w:r>
        <w:rPr>
          <w:sz w:val="20"/>
        </w:rPr>
        <w:t xml:space="preserve">. </w:t>
      </w:r>
    </w:p>
    <w:p w14:paraId="34DE5122" w14:textId="6D56C946" w:rsidR="00C911BF" w:rsidRDefault="00BA2A54" w:rsidP="00C911BF">
      <w:pPr>
        <w:pStyle w:val="B-Body"/>
        <w:numPr>
          <w:ilvl w:val="0"/>
          <w:numId w:val="19"/>
        </w:numPr>
        <w:jc w:val="both"/>
        <w:rPr>
          <w:sz w:val="20"/>
        </w:rPr>
      </w:pPr>
      <w:r>
        <w:rPr>
          <w:sz w:val="20"/>
        </w:rPr>
        <w:t xml:space="preserve">Similar to UMa, </w:t>
      </w:r>
      <w:r w:rsidR="00C911BF">
        <w:rPr>
          <w:sz w:val="20"/>
        </w:rPr>
        <w:t>Ping-pong rates go down with increase in speed</w:t>
      </w:r>
      <w:r>
        <w:rPr>
          <w:sz w:val="20"/>
        </w:rPr>
        <w:t xml:space="preserve"> in RMa</w:t>
      </w:r>
      <w:r w:rsidR="00C911BF">
        <w:rPr>
          <w:sz w:val="20"/>
        </w:rPr>
        <w:t>. Terrestrial UEs suffer higher ping-pong</w:t>
      </w:r>
      <w:r>
        <w:rPr>
          <w:sz w:val="20"/>
        </w:rPr>
        <w:t xml:space="preserve"> (about 1.5x)</w:t>
      </w:r>
      <w:r w:rsidR="00C911BF">
        <w:rPr>
          <w:sz w:val="20"/>
        </w:rPr>
        <w:t xml:space="preserve"> compared to UAVs in general. </w:t>
      </w:r>
    </w:p>
    <w:p w14:paraId="4FDB4C15" w14:textId="415700AF" w:rsidR="00C911BF" w:rsidRDefault="00C911BF" w:rsidP="00C911BF">
      <w:pPr>
        <w:pStyle w:val="B-Body"/>
        <w:numPr>
          <w:ilvl w:val="0"/>
          <w:numId w:val="19"/>
        </w:numPr>
        <w:jc w:val="both"/>
        <w:rPr>
          <w:sz w:val="20"/>
        </w:rPr>
      </w:pPr>
      <w:r>
        <w:rPr>
          <w:sz w:val="20"/>
        </w:rPr>
        <w:t>Time in Handoff and Time in Qout</w:t>
      </w:r>
      <w:r w:rsidR="00B21BD2">
        <w:rPr>
          <w:sz w:val="20"/>
        </w:rPr>
        <w:t xml:space="preserve"> for</w:t>
      </w:r>
      <w:r w:rsidR="008136BE">
        <w:rPr>
          <w:sz w:val="20"/>
        </w:rPr>
        <w:t xml:space="preserve"> UAVs at</w:t>
      </w:r>
      <w:r w:rsidR="00B21BD2">
        <w:rPr>
          <w:sz w:val="20"/>
        </w:rPr>
        <w:t xml:space="preserve"> medium height is more prominent compared to other heights for RMas, especially at medium and high speeds.</w:t>
      </w:r>
    </w:p>
    <w:p w14:paraId="2B02AD74" w14:textId="26435944" w:rsidR="00C911BF" w:rsidRDefault="008136BE" w:rsidP="00C911BF">
      <w:pPr>
        <w:pStyle w:val="B-Body"/>
        <w:numPr>
          <w:ilvl w:val="0"/>
          <w:numId w:val="19"/>
        </w:numPr>
        <w:jc w:val="both"/>
        <w:rPr>
          <w:sz w:val="20"/>
        </w:rPr>
      </w:pPr>
      <w:r>
        <w:rPr>
          <w:sz w:val="20"/>
        </w:rPr>
        <w:t>When comparing</w:t>
      </w:r>
      <w:r w:rsidR="00C911BF">
        <w:rPr>
          <w:sz w:val="20"/>
        </w:rPr>
        <w:t xml:space="preserve"> </w:t>
      </w:r>
      <w:r>
        <w:rPr>
          <w:sz w:val="20"/>
        </w:rPr>
        <w:t>UEs with different heights at the</w:t>
      </w:r>
      <w:r w:rsidR="00C911BF">
        <w:rPr>
          <w:sz w:val="20"/>
        </w:rPr>
        <w:t xml:space="preserve"> same speed, in general, the mobility performance is worse for UAV</w:t>
      </w:r>
      <w:r w:rsidR="00497CE1">
        <w:rPr>
          <w:sz w:val="20"/>
        </w:rPr>
        <w:t>s when the height is in the mid-</w:t>
      </w:r>
      <w:r w:rsidR="00C911BF">
        <w:rPr>
          <w:sz w:val="20"/>
        </w:rPr>
        <w:t xml:space="preserve">range. </w:t>
      </w:r>
      <w:r w:rsidR="00BA2A54">
        <w:rPr>
          <w:sz w:val="20"/>
        </w:rPr>
        <w:t>This is more clearly seen in RMa compared to UMa</w:t>
      </w:r>
      <w:r w:rsidR="00497CE1">
        <w:rPr>
          <w:sz w:val="20"/>
        </w:rPr>
        <w:t xml:space="preserve"> scenario</w:t>
      </w:r>
      <w:r w:rsidR="00BA2A54">
        <w:rPr>
          <w:sz w:val="20"/>
        </w:rPr>
        <w:t xml:space="preserve">. </w:t>
      </w:r>
    </w:p>
    <w:p w14:paraId="500C0949" w14:textId="77777777" w:rsidR="00C911BF" w:rsidRDefault="00C911BF" w:rsidP="007556D7">
      <w:pPr>
        <w:pStyle w:val="B-Body"/>
        <w:ind w:left="0"/>
        <w:jc w:val="both"/>
        <w:rPr>
          <w:sz w:val="20"/>
        </w:rPr>
      </w:pPr>
    </w:p>
    <w:p w14:paraId="0096AAD2" w14:textId="02F7C9B5" w:rsidR="00F40C60" w:rsidRDefault="00F02620" w:rsidP="00D42E8B">
      <w:pPr>
        <w:pStyle w:val="B-Body"/>
        <w:ind w:left="0"/>
        <w:jc w:val="both"/>
        <w:rPr>
          <w:sz w:val="20"/>
        </w:rPr>
      </w:pPr>
      <w:r>
        <w:rPr>
          <w:sz w:val="20"/>
        </w:rPr>
        <w:t>Overall, the</w:t>
      </w:r>
      <w:r w:rsidR="00497CE1">
        <w:rPr>
          <w:sz w:val="20"/>
        </w:rPr>
        <w:t>se</w:t>
      </w:r>
      <w:r>
        <w:rPr>
          <w:sz w:val="20"/>
        </w:rPr>
        <w:t xml:space="preserve"> observations from the above results can be summarized as:</w:t>
      </w:r>
    </w:p>
    <w:p w14:paraId="0F29E27B" w14:textId="50A8D16B" w:rsidR="00F02620" w:rsidRPr="00DF77D0" w:rsidRDefault="00F02620" w:rsidP="00DF77D0">
      <w:pPr>
        <w:pStyle w:val="Observation"/>
        <w:rPr>
          <w:sz w:val="20"/>
        </w:rPr>
      </w:pPr>
      <w:bookmarkStart w:id="6" w:name="_Toc494380813"/>
      <w:bookmarkStart w:id="7" w:name="_Toc494380899"/>
      <w:bookmarkStart w:id="8" w:name="_Toc494380904"/>
      <w:bookmarkStart w:id="9" w:name="_Toc494394709"/>
      <w:r w:rsidRPr="00DF77D0">
        <w:rPr>
          <w:sz w:val="20"/>
        </w:rPr>
        <w:t>For low to moderate speeds and heights, UAVs show on par or better mobility performance compared to terrestrial UEs due to more stable radio conditions (LOS and free space propagation).</w:t>
      </w:r>
      <w:bookmarkEnd w:id="6"/>
      <w:bookmarkEnd w:id="7"/>
      <w:bookmarkEnd w:id="8"/>
      <w:bookmarkEnd w:id="9"/>
    </w:p>
    <w:p w14:paraId="62C8AD74" w14:textId="4EE87C29" w:rsidR="00F02620" w:rsidRPr="00DF77D0" w:rsidRDefault="00F02620" w:rsidP="00DF77D0">
      <w:pPr>
        <w:pStyle w:val="Observation"/>
        <w:rPr>
          <w:sz w:val="20"/>
        </w:rPr>
      </w:pPr>
      <w:bookmarkStart w:id="10" w:name="_Toc494380814"/>
      <w:bookmarkStart w:id="11" w:name="_Toc494380900"/>
      <w:bookmarkStart w:id="12" w:name="_Toc494380905"/>
      <w:bookmarkStart w:id="13" w:name="_Toc494394710"/>
      <w:r w:rsidRPr="00DF77D0">
        <w:rPr>
          <w:sz w:val="20"/>
        </w:rPr>
        <w:t xml:space="preserve">For high speed and for certain heights (depending on </w:t>
      </w:r>
      <w:r w:rsidR="00497CE1">
        <w:rPr>
          <w:sz w:val="20"/>
        </w:rPr>
        <w:t>the considered scenario</w:t>
      </w:r>
      <w:r w:rsidRPr="00DF77D0">
        <w:rPr>
          <w:sz w:val="20"/>
        </w:rPr>
        <w:t>)</w:t>
      </w:r>
      <w:r w:rsidR="00497CE1">
        <w:rPr>
          <w:sz w:val="20"/>
        </w:rPr>
        <w:t>,</w:t>
      </w:r>
      <w:r w:rsidRPr="00DF77D0">
        <w:rPr>
          <w:sz w:val="20"/>
        </w:rPr>
        <w:t xml:space="preserve"> UAV mobility performance suffers compared to terrestrial UEs which is likely due to higher level of interference and because of the nulls in the vertical antenna pattern.</w:t>
      </w:r>
      <w:bookmarkEnd w:id="10"/>
      <w:bookmarkEnd w:id="11"/>
      <w:bookmarkEnd w:id="12"/>
      <w:bookmarkEnd w:id="13"/>
      <w:r w:rsidRPr="00DF77D0">
        <w:rPr>
          <w:sz w:val="20"/>
        </w:rPr>
        <w:t xml:space="preserve"> </w:t>
      </w:r>
    </w:p>
    <w:p w14:paraId="7B50C79A" w14:textId="77777777" w:rsidR="000454B7" w:rsidRDefault="000454B7" w:rsidP="00D42E8B">
      <w:pPr>
        <w:pStyle w:val="B-Body"/>
        <w:ind w:left="0"/>
        <w:jc w:val="both"/>
        <w:rPr>
          <w:sz w:val="20"/>
        </w:rPr>
      </w:pPr>
    </w:p>
    <w:p w14:paraId="1B520037" w14:textId="432447D1" w:rsidR="00A513CF" w:rsidRPr="008A795B" w:rsidRDefault="00A513CF" w:rsidP="00A513CF">
      <w:pPr>
        <w:pStyle w:val="B-Body"/>
        <w:keepNext/>
        <w:keepLines/>
        <w:ind w:left="0"/>
        <w:jc w:val="both"/>
        <w:rPr>
          <w:sz w:val="20"/>
          <w:lang w:eastAsia="ja-JP"/>
        </w:rPr>
      </w:pPr>
      <w:r w:rsidRPr="008A795B">
        <w:rPr>
          <w:sz w:val="20"/>
          <w:lang w:eastAsia="ja-JP"/>
        </w:rPr>
        <w:t xml:space="preserve">Based on the above </w:t>
      </w:r>
      <w:r w:rsidR="00ED6728" w:rsidRPr="008A795B">
        <w:rPr>
          <w:sz w:val="20"/>
          <w:lang w:eastAsia="ja-JP"/>
        </w:rPr>
        <w:t>observations and discussion</w:t>
      </w:r>
      <w:r w:rsidRPr="008A795B">
        <w:rPr>
          <w:sz w:val="20"/>
          <w:lang w:eastAsia="ja-JP"/>
        </w:rPr>
        <w:t>, we propose:</w:t>
      </w:r>
    </w:p>
    <w:p w14:paraId="76809227" w14:textId="4C312F14" w:rsidR="00A201F5" w:rsidRPr="00DF77D0" w:rsidRDefault="00A201F5" w:rsidP="00DF77D0">
      <w:pPr>
        <w:pStyle w:val="Proposal"/>
      </w:pPr>
      <w:bookmarkStart w:id="14" w:name="_Toc481070579"/>
      <w:bookmarkStart w:id="15" w:name="_Toc481070694"/>
      <w:bookmarkStart w:id="16" w:name="_Toc481070702"/>
      <w:bookmarkStart w:id="17" w:name="_Toc481070709"/>
      <w:bookmarkStart w:id="18" w:name="_Toc481070726"/>
      <w:bookmarkStart w:id="19" w:name="_Toc481071090"/>
      <w:bookmarkStart w:id="20" w:name="_Toc481071832"/>
      <w:bookmarkStart w:id="21" w:name="_Toc481142049"/>
      <w:bookmarkStart w:id="22" w:name="_Toc481753175"/>
      <w:bookmarkStart w:id="23" w:name="_Toc481753212"/>
      <w:bookmarkStart w:id="24" w:name="_Toc481753229"/>
      <w:bookmarkStart w:id="25" w:name="_Toc481753286"/>
      <w:bookmarkStart w:id="26" w:name="_Toc494380817"/>
      <w:bookmarkStart w:id="27" w:name="_Toc494380901"/>
      <w:bookmarkStart w:id="28" w:name="_Toc494380906"/>
      <w:bookmarkStart w:id="29" w:name="_Toc481070578"/>
      <w:bookmarkStart w:id="30" w:name="_Toc481070693"/>
      <w:bookmarkStart w:id="31" w:name="_Toc481070701"/>
      <w:bookmarkStart w:id="32" w:name="_Toc481070708"/>
      <w:bookmarkStart w:id="33" w:name="_Toc481070725"/>
      <w:bookmarkStart w:id="34" w:name="_Toc481071089"/>
      <w:bookmarkStart w:id="35" w:name="_Toc481071831"/>
      <w:bookmarkStart w:id="36" w:name="_Toc481142048"/>
      <w:bookmarkStart w:id="37" w:name="_Toc481753174"/>
      <w:bookmarkStart w:id="38" w:name="_Toc481753211"/>
      <w:bookmarkStart w:id="39" w:name="_Toc481753228"/>
      <w:bookmarkStart w:id="40" w:name="_Toc481753285"/>
      <w:bookmarkStart w:id="41" w:name="_Toc494380816"/>
      <w:bookmarkStart w:id="42" w:name="_Toc494394711"/>
      <w:r w:rsidRPr="00DF77D0">
        <w:t xml:space="preserve">Take the above results </w:t>
      </w:r>
      <w:r w:rsidR="00497CE1" w:rsidRPr="00DF77D0">
        <w:t xml:space="preserve">into account </w:t>
      </w:r>
      <w:r w:rsidRPr="00DF77D0">
        <w:t>in the discussions of potential mobility enhancement solutions for UAVs.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42"/>
    </w:p>
    <w:p w14:paraId="59AEB509" w14:textId="7E373307" w:rsidR="00A513CF" w:rsidRPr="00DF77D0" w:rsidRDefault="00A201F5" w:rsidP="00DF77D0">
      <w:pPr>
        <w:pStyle w:val="Proposal"/>
      </w:pPr>
      <w:bookmarkStart w:id="43" w:name="_Toc494380902"/>
      <w:bookmarkStart w:id="44" w:name="_Toc494380907"/>
      <w:bookmarkStart w:id="45" w:name="_Toc494394712"/>
      <w:r w:rsidRPr="00DF77D0">
        <w:t xml:space="preserve">Capture the results </w:t>
      </w:r>
      <w:r w:rsidR="00A513CF" w:rsidRPr="00DF77D0">
        <w:t>in the TR.</w:t>
      </w:r>
      <w:bookmarkEnd w:id="29"/>
      <w:bookmarkEnd w:id="30"/>
      <w:bookmarkEnd w:id="31"/>
      <w:bookmarkEnd w:id="32"/>
      <w:bookmarkEnd w:id="33"/>
      <w:bookmarkEnd w:id="34"/>
      <w:bookmarkEnd w:id="35"/>
      <w:bookmarkEnd w:id="36"/>
      <w:bookmarkEnd w:id="37"/>
      <w:bookmarkEnd w:id="38"/>
      <w:bookmarkEnd w:id="39"/>
      <w:bookmarkEnd w:id="40"/>
      <w:bookmarkEnd w:id="41"/>
      <w:bookmarkEnd w:id="43"/>
      <w:bookmarkEnd w:id="44"/>
      <w:bookmarkEnd w:id="45"/>
    </w:p>
    <w:p w14:paraId="53524841" w14:textId="1A0DB79A" w:rsidR="00F9749E" w:rsidRPr="004721D9" w:rsidRDefault="00F9749E" w:rsidP="004721D9">
      <w:pPr>
        <w:pStyle w:val="Heading1"/>
      </w:pPr>
      <w:r w:rsidRPr="004721D9">
        <w:t>Conclusion</w:t>
      </w:r>
    </w:p>
    <w:p w14:paraId="30CFE7AF" w14:textId="5C4961C6" w:rsidR="00FF2888" w:rsidRPr="008A795B" w:rsidRDefault="00E8280A" w:rsidP="00FF2888">
      <w:pPr>
        <w:jc w:val="both"/>
      </w:pPr>
      <w:r w:rsidRPr="008A795B">
        <w:t xml:space="preserve">In this </w:t>
      </w:r>
      <w:r w:rsidR="00F16116" w:rsidRPr="008A795B">
        <w:t>contribution,</w:t>
      </w:r>
      <w:r w:rsidR="000A49C8" w:rsidRPr="008A795B">
        <w:t xml:space="preserve"> </w:t>
      </w:r>
      <w:r w:rsidR="00ED6728" w:rsidRPr="008A795B">
        <w:t xml:space="preserve">based on the simulation results, </w:t>
      </w:r>
      <w:r w:rsidR="000A49C8" w:rsidRPr="008A795B">
        <w:t xml:space="preserve">we made the following </w:t>
      </w:r>
      <w:r w:rsidRPr="008A795B">
        <w:t>observa</w:t>
      </w:r>
      <w:r w:rsidR="0017207A" w:rsidRPr="008A795B">
        <w:t>tions</w:t>
      </w:r>
      <w:r w:rsidR="00E870F1" w:rsidRPr="008A795B">
        <w:t xml:space="preserve"> </w:t>
      </w:r>
      <w:r w:rsidR="0017207A" w:rsidRPr="008A795B">
        <w:t xml:space="preserve">on mobility performance of </w:t>
      </w:r>
      <w:r w:rsidR="008961C8" w:rsidRPr="008A795B">
        <w:t>UAVs</w:t>
      </w:r>
      <w:r w:rsidR="0017207A" w:rsidRPr="008A795B">
        <w:t>:</w:t>
      </w:r>
    </w:p>
    <w:p w14:paraId="0B4B5003" w14:textId="77777777" w:rsidR="00CF34DF" w:rsidRPr="00CF34DF" w:rsidRDefault="00A52A8A">
      <w:pPr>
        <w:pStyle w:val="TOC1"/>
        <w:tabs>
          <w:tab w:val="left" w:pos="1540"/>
          <w:tab w:val="right" w:leader="dot" w:pos="9350"/>
        </w:tabs>
        <w:rPr>
          <w:rFonts w:asciiTheme="minorHAnsi" w:eastAsiaTheme="minorEastAsia" w:hAnsiTheme="minorHAnsi" w:cstheme="minorBidi"/>
          <w:b/>
          <w:noProof/>
          <w:sz w:val="22"/>
          <w:szCs w:val="22"/>
          <w:lang w:val="en-US"/>
        </w:rPr>
      </w:pPr>
      <w:r w:rsidRPr="00CF34DF">
        <w:rPr>
          <w:b/>
        </w:rPr>
        <w:fldChar w:fldCharType="begin"/>
      </w:r>
      <w:r w:rsidRPr="00CF34DF">
        <w:rPr>
          <w:b/>
        </w:rPr>
        <w:instrText xml:space="preserve"> TOC \t "Observation" \z \n \* MERGEFORMAT </w:instrText>
      </w:r>
      <w:r w:rsidRPr="00CF34DF">
        <w:rPr>
          <w:b/>
        </w:rPr>
        <w:fldChar w:fldCharType="separate"/>
      </w:r>
      <w:r w:rsidR="00CF34DF" w:rsidRPr="00CF34DF">
        <w:rPr>
          <w:b/>
          <w:noProof/>
        </w:rPr>
        <w:t>Observation 1.</w:t>
      </w:r>
      <w:r w:rsidR="00CF34DF" w:rsidRPr="00CF34DF">
        <w:rPr>
          <w:rFonts w:asciiTheme="minorHAnsi" w:eastAsiaTheme="minorEastAsia" w:hAnsiTheme="minorHAnsi" w:cstheme="minorBidi"/>
          <w:b/>
          <w:noProof/>
          <w:sz w:val="22"/>
          <w:szCs w:val="22"/>
          <w:lang w:val="en-US"/>
        </w:rPr>
        <w:tab/>
      </w:r>
      <w:r w:rsidR="00CF34DF" w:rsidRPr="00CF34DF">
        <w:rPr>
          <w:b/>
          <w:noProof/>
        </w:rPr>
        <w:t>For low to moderate speeds and heights, UAVs show on par or better mobility performance compared to terrestrial UEs due to more stable radio conditions (LOS and free space propagation).</w:t>
      </w:r>
    </w:p>
    <w:p w14:paraId="63492CC0" w14:textId="77777777" w:rsidR="00CF34DF" w:rsidRPr="00CF34DF" w:rsidRDefault="00CF34DF">
      <w:pPr>
        <w:pStyle w:val="TOC1"/>
        <w:tabs>
          <w:tab w:val="left" w:pos="1540"/>
          <w:tab w:val="right" w:leader="dot" w:pos="9350"/>
        </w:tabs>
        <w:rPr>
          <w:rFonts w:asciiTheme="minorHAnsi" w:eastAsiaTheme="minorEastAsia" w:hAnsiTheme="minorHAnsi" w:cstheme="minorBidi"/>
          <w:b/>
          <w:noProof/>
          <w:sz w:val="22"/>
          <w:szCs w:val="22"/>
          <w:lang w:val="en-US"/>
        </w:rPr>
      </w:pPr>
      <w:r w:rsidRPr="00CF34DF">
        <w:rPr>
          <w:b/>
          <w:noProof/>
        </w:rPr>
        <w:t>Observation 2.</w:t>
      </w:r>
      <w:r w:rsidRPr="00CF34DF">
        <w:rPr>
          <w:rFonts w:asciiTheme="minorHAnsi" w:eastAsiaTheme="minorEastAsia" w:hAnsiTheme="minorHAnsi" w:cstheme="minorBidi"/>
          <w:b/>
          <w:noProof/>
          <w:sz w:val="22"/>
          <w:szCs w:val="22"/>
          <w:lang w:val="en-US"/>
        </w:rPr>
        <w:tab/>
      </w:r>
      <w:r w:rsidRPr="00CF34DF">
        <w:rPr>
          <w:b/>
          <w:noProof/>
        </w:rPr>
        <w:t>For high speed and for certain heights (depending on the considered scenario), UAV mobility performance suffers compared to terrestrial UEs which is likely due to higher level of interference and because of the nulls in the vertical antenna pattern.</w:t>
      </w:r>
    </w:p>
    <w:p w14:paraId="11FC55F1" w14:textId="1EFA819E" w:rsidR="00A52A8A" w:rsidRPr="00456300" w:rsidRDefault="00A52A8A" w:rsidP="00A52A8A">
      <w:pPr>
        <w:jc w:val="both"/>
      </w:pPr>
      <w:r w:rsidRPr="00CF34DF">
        <w:rPr>
          <w:b/>
        </w:rPr>
        <w:fldChar w:fldCharType="end"/>
      </w:r>
    </w:p>
    <w:p w14:paraId="1879CBF4" w14:textId="2087B5B0" w:rsidR="00A52A8A" w:rsidRPr="00FB4733" w:rsidRDefault="00A52A8A" w:rsidP="00A52A8A">
      <w:pPr>
        <w:jc w:val="both"/>
      </w:pPr>
      <w:r>
        <w:t xml:space="preserve">Based on the </w:t>
      </w:r>
      <w:r w:rsidR="00DA1A0B">
        <w:t xml:space="preserve">discussion and </w:t>
      </w:r>
      <w:r>
        <w:t>observations, w</w:t>
      </w:r>
      <w:r w:rsidRPr="00FB4733">
        <w:t>e propose:</w:t>
      </w:r>
    </w:p>
    <w:p w14:paraId="1F8C5708" w14:textId="77777777" w:rsidR="00CF34DF" w:rsidRPr="00CF34DF" w:rsidRDefault="00A52A8A">
      <w:pPr>
        <w:pStyle w:val="TOC1"/>
        <w:tabs>
          <w:tab w:val="left" w:pos="1320"/>
          <w:tab w:val="right" w:leader="dot" w:pos="9350"/>
        </w:tabs>
        <w:rPr>
          <w:rFonts w:asciiTheme="minorHAnsi" w:eastAsiaTheme="minorEastAsia" w:hAnsiTheme="minorHAnsi" w:cstheme="minorBidi"/>
          <w:b/>
          <w:noProof/>
          <w:sz w:val="22"/>
          <w:szCs w:val="22"/>
          <w:lang w:val="en-US"/>
        </w:rPr>
      </w:pPr>
      <w:r w:rsidRPr="00CF34DF">
        <w:rPr>
          <w:b/>
        </w:rPr>
        <w:fldChar w:fldCharType="begin"/>
      </w:r>
      <w:r w:rsidRPr="00CF34DF">
        <w:rPr>
          <w:b/>
        </w:rPr>
        <w:instrText xml:space="preserve"> TOC \t "Proposal" \z \n</w:instrText>
      </w:r>
      <w:r w:rsidRPr="00CF34DF">
        <w:rPr>
          <w:b/>
        </w:rPr>
        <w:fldChar w:fldCharType="separate"/>
      </w:r>
      <w:r w:rsidR="00CF34DF" w:rsidRPr="00CF34DF">
        <w:rPr>
          <w:b/>
          <w:noProof/>
        </w:rPr>
        <w:t>Proposal 1.</w:t>
      </w:r>
      <w:r w:rsidR="00CF34DF" w:rsidRPr="00CF34DF">
        <w:rPr>
          <w:rFonts w:asciiTheme="minorHAnsi" w:eastAsiaTheme="minorEastAsia" w:hAnsiTheme="minorHAnsi" w:cstheme="minorBidi"/>
          <w:b/>
          <w:noProof/>
          <w:sz w:val="22"/>
          <w:szCs w:val="22"/>
          <w:lang w:val="en-US"/>
        </w:rPr>
        <w:tab/>
      </w:r>
      <w:r w:rsidR="00CF34DF" w:rsidRPr="00CF34DF">
        <w:rPr>
          <w:b/>
          <w:noProof/>
        </w:rPr>
        <w:t>Take the above results into account in the discussions of potential mobility enhancement solutions for UAVs.</w:t>
      </w:r>
    </w:p>
    <w:p w14:paraId="65F39D8E" w14:textId="77777777" w:rsidR="00CF34DF" w:rsidRPr="00CF34DF" w:rsidRDefault="00CF34DF">
      <w:pPr>
        <w:pStyle w:val="TOC1"/>
        <w:tabs>
          <w:tab w:val="left" w:pos="1320"/>
          <w:tab w:val="right" w:leader="dot" w:pos="9350"/>
        </w:tabs>
        <w:rPr>
          <w:rFonts w:asciiTheme="minorHAnsi" w:eastAsiaTheme="minorEastAsia" w:hAnsiTheme="minorHAnsi" w:cstheme="minorBidi"/>
          <w:b/>
          <w:noProof/>
          <w:sz w:val="22"/>
          <w:szCs w:val="22"/>
          <w:lang w:val="en-US"/>
        </w:rPr>
      </w:pPr>
      <w:r w:rsidRPr="00CF34DF">
        <w:rPr>
          <w:b/>
          <w:noProof/>
        </w:rPr>
        <w:t>Proposal 2.</w:t>
      </w:r>
      <w:r w:rsidRPr="00CF34DF">
        <w:rPr>
          <w:rFonts w:asciiTheme="minorHAnsi" w:eastAsiaTheme="minorEastAsia" w:hAnsiTheme="minorHAnsi" w:cstheme="minorBidi"/>
          <w:b/>
          <w:noProof/>
          <w:sz w:val="22"/>
          <w:szCs w:val="22"/>
          <w:lang w:val="en-US"/>
        </w:rPr>
        <w:tab/>
      </w:r>
      <w:r w:rsidRPr="00CF34DF">
        <w:rPr>
          <w:b/>
          <w:noProof/>
        </w:rPr>
        <w:t>Capture the results in the TR.</w:t>
      </w:r>
    </w:p>
    <w:p w14:paraId="625B6AD9" w14:textId="12BAB3B1" w:rsidR="004143F0" w:rsidRPr="004143F0" w:rsidRDefault="00A52A8A" w:rsidP="004143F0">
      <w:r w:rsidRPr="00CF34DF">
        <w:rPr>
          <w:b/>
        </w:rPr>
        <w:lastRenderedPageBreak/>
        <w:fldChar w:fldCharType="end"/>
      </w:r>
    </w:p>
    <w:p w14:paraId="32F7E829" w14:textId="0DD5E914" w:rsidR="00CB1C5B" w:rsidRPr="004721D9" w:rsidRDefault="00CB1C5B" w:rsidP="004721D9">
      <w:pPr>
        <w:pStyle w:val="Heading1"/>
      </w:pPr>
      <w:r w:rsidRPr="004721D9">
        <w:t>References</w:t>
      </w:r>
    </w:p>
    <w:p w14:paraId="7C8F5881" w14:textId="571A448B" w:rsidR="002975BE" w:rsidRDefault="002975BE" w:rsidP="002975BE">
      <w:pPr>
        <w:spacing w:after="0" w:line="276" w:lineRule="auto"/>
        <w:rPr>
          <w:bCs/>
          <w:shd w:val="clear" w:color="auto" w:fill="FFFFFF"/>
        </w:rPr>
      </w:pPr>
      <w:r w:rsidRPr="007F0892">
        <w:rPr>
          <w:bCs/>
          <w:shd w:val="clear" w:color="auto" w:fill="FFFFFF"/>
        </w:rPr>
        <w:t xml:space="preserve">[1] </w:t>
      </w:r>
      <w:r w:rsidR="002B4C6F" w:rsidRPr="007F0892">
        <w:rPr>
          <w:bCs/>
          <w:shd w:val="clear" w:color="auto" w:fill="FFFFFF"/>
        </w:rPr>
        <w:t>RP-170779</w:t>
      </w:r>
      <w:r w:rsidR="002B4C6F">
        <w:rPr>
          <w:bCs/>
          <w:shd w:val="clear" w:color="auto" w:fill="FFFFFF"/>
        </w:rPr>
        <w:t>,</w:t>
      </w:r>
      <w:r w:rsidR="002B4C6F" w:rsidRPr="007F0892">
        <w:rPr>
          <w:bCs/>
          <w:shd w:val="clear" w:color="auto" w:fill="FFFFFF"/>
        </w:rPr>
        <w:t xml:space="preserve"> SID on Enhanced LTE Support for Aerial Vehicles</w:t>
      </w:r>
      <w:r w:rsidR="002B4C6F">
        <w:rPr>
          <w:bCs/>
          <w:shd w:val="clear" w:color="auto" w:fill="FFFFFF"/>
        </w:rPr>
        <w:t xml:space="preserve">, </w:t>
      </w:r>
      <w:r w:rsidR="002B4C6F" w:rsidRPr="0092216A">
        <w:rPr>
          <w:bCs/>
          <w:shd w:val="clear" w:color="auto" w:fill="FFFFFF"/>
        </w:rPr>
        <w:t>NTT DOCOMO INC, Ericsson</w:t>
      </w:r>
    </w:p>
    <w:p w14:paraId="25C45DFE" w14:textId="509FAC18" w:rsidR="007F683F" w:rsidRPr="007F0892" w:rsidRDefault="007F683F" w:rsidP="002975BE">
      <w:pPr>
        <w:spacing w:after="0" w:line="276" w:lineRule="auto"/>
        <w:rPr>
          <w:bCs/>
          <w:shd w:val="clear" w:color="auto" w:fill="FFFFFF"/>
        </w:rPr>
      </w:pPr>
      <w:r>
        <w:rPr>
          <w:bCs/>
          <w:shd w:val="clear" w:color="auto" w:fill="FFFFFF"/>
        </w:rPr>
        <w:t xml:space="preserve">[2] </w:t>
      </w:r>
      <w:r w:rsidRPr="007F683F">
        <w:rPr>
          <w:bCs/>
          <w:shd w:val="clear" w:color="auto" w:fill="FFFFFF"/>
        </w:rPr>
        <w:t>R2-1708662</w:t>
      </w:r>
      <w:r>
        <w:rPr>
          <w:bCs/>
          <w:shd w:val="clear" w:color="auto" w:fill="FFFFFF"/>
        </w:rPr>
        <w:t xml:space="preserve">, </w:t>
      </w:r>
      <w:bookmarkStart w:id="46" w:name="_Hlk490157445"/>
      <w:r>
        <w:t>Potential enhancements for UAV interference problem</w:t>
      </w:r>
      <w:bookmarkEnd w:id="46"/>
      <w:r>
        <w:t>, Ericsson</w:t>
      </w:r>
    </w:p>
    <w:p w14:paraId="77EE3759" w14:textId="46D8FD12" w:rsidR="00CB51F8" w:rsidRDefault="00CB51F8" w:rsidP="00816C11">
      <w:pPr>
        <w:overflowPunct/>
        <w:autoSpaceDE/>
        <w:autoSpaceDN/>
        <w:adjustRightInd/>
        <w:spacing w:after="0"/>
        <w:textAlignment w:val="auto"/>
        <w:rPr>
          <w:lang w:eastAsia="ko-KR"/>
        </w:rPr>
      </w:pPr>
    </w:p>
    <w:sectPr w:rsidR="00CB51F8" w:rsidSect="0063316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64AD2" w14:textId="77777777" w:rsidR="005D5CC4" w:rsidRDefault="005D5CC4" w:rsidP="00860D27">
      <w:pPr>
        <w:spacing w:after="0"/>
      </w:pPr>
      <w:r>
        <w:separator/>
      </w:r>
    </w:p>
  </w:endnote>
  <w:endnote w:type="continuationSeparator" w:id="0">
    <w:p w14:paraId="3E9B6DAB" w14:textId="77777777" w:rsidR="005D5CC4" w:rsidRDefault="005D5CC4" w:rsidP="00860D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5E2CD" w14:textId="77777777" w:rsidR="005D5CC4" w:rsidRDefault="005D5CC4" w:rsidP="00860D27">
      <w:pPr>
        <w:spacing w:after="0"/>
      </w:pPr>
      <w:r>
        <w:separator/>
      </w:r>
    </w:p>
  </w:footnote>
  <w:footnote w:type="continuationSeparator" w:id="0">
    <w:p w14:paraId="6FE8A6DE" w14:textId="77777777" w:rsidR="005D5CC4" w:rsidRDefault="005D5CC4" w:rsidP="00860D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lvl w:ilvl="0">
      <w:start w:val="1"/>
      <w:numFmt w:val="decimal"/>
      <w:lvlText w:val="[%1]"/>
      <w:lvlJc w:val="left"/>
      <w:pPr>
        <w:tabs>
          <w:tab w:val="num" w:pos="567"/>
        </w:tabs>
        <w:ind w:left="567" w:hanging="567"/>
      </w:pPr>
    </w:lvl>
  </w:abstractNum>
  <w:abstractNum w:abstractNumId="1"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60BB7"/>
    <w:multiLevelType w:val="hybridMultilevel"/>
    <w:tmpl w:val="908CCF6E"/>
    <w:lvl w:ilvl="0" w:tplc="2730CA6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F26248"/>
    <w:multiLevelType w:val="hybridMultilevel"/>
    <w:tmpl w:val="3DA8E024"/>
    <w:lvl w:ilvl="0" w:tplc="87542AA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E9157E"/>
    <w:multiLevelType w:val="hybridMultilevel"/>
    <w:tmpl w:val="C7466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C44032"/>
    <w:multiLevelType w:val="hybridMultilevel"/>
    <w:tmpl w:val="C7466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8" w15:restartNumberingAfterBreak="0">
    <w:nsid w:val="37B26FD8"/>
    <w:multiLevelType w:val="hybridMultilevel"/>
    <w:tmpl w:val="C7466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750B8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79F2E0E"/>
    <w:multiLevelType w:val="hybridMultilevel"/>
    <w:tmpl w:val="152A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E7650E"/>
    <w:multiLevelType w:val="hybridMultilevel"/>
    <w:tmpl w:val="1332E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6603A9"/>
    <w:multiLevelType w:val="hybridMultilevel"/>
    <w:tmpl w:val="3F7E11FA"/>
    <w:lvl w:ilvl="0" w:tplc="0BDAF148">
      <w:start w:val="1"/>
      <w:numFmt w:val="decimal"/>
      <w:pStyle w:val="Propos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num w:numId="1">
    <w:abstractNumId w:val="0"/>
  </w:num>
  <w:num w:numId="2">
    <w:abstractNumId w:val="4"/>
  </w:num>
  <w:num w:numId="3">
    <w:abstractNumId w:val="1"/>
  </w:num>
  <w:num w:numId="4">
    <w:abstractNumId w:val="14"/>
  </w:num>
  <w:num w:numId="5">
    <w:abstractNumId w:val="12"/>
  </w:num>
  <w:num w:numId="6">
    <w:abstractNumId w:val="7"/>
  </w:num>
  <w:num w:numId="7">
    <w:abstractNumId w:val="2"/>
  </w:num>
  <w:num w:numId="8">
    <w:abstractNumId w:val="3"/>
  </w:num>
  <w:num w:numId="9">
    <w:abstractNumId w:val="3"/>
  </w:num>
  <w:num w:numId="10">
    <w:abstractNumId w:val="3"/>
  </w:num>
  <w:num w:numId="11">
    <w:abstractNumId w:val="3"/>
  </w:num>
  <w:num w:numId="12">
    <w:abstractNumId w:val="13"/>
  </w:num>
  <w:num w:numId="13">
    <w:abstractNumId w:val="11"/>
  </w:num>
  <w:num w:numId="14">
    <w:abstractNumId w:val="9"/>
  </w:num>
  <w:num w:numId="15">
    <w:abstractNumId w:val="9"/>
  </w:num>
  <w:num w:numId="16">
    <w:abstractNumId w:val="10"/>
  </w:num>
  <w:num w:numId="17">
    <w:abstractNumId w:val="5"/>
  </w:num>
  <w:num w:numId="18">
    <w:abstractNumId w:val="8"/>
  </w:num>
  <w:num w:numId="19">
    <w:abstractNumId w:val="6"/>
  </w:num>
  <w:num w:numId="2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1102B"/>
    <w:rsid w:val="00015268"/>
    <w:rsid w:val="00015C04"/>
    <w:rsid w:val="00017CEE"/>
    <w:rsid w:val="00021364"/>
    <w:rsid w:val="000244C7"/>
    <w:rsid w:val="00024C64"/>
    <w:rsid w:val="00024D2F"/>
    <w:rsid w:val="00030B16"/>
    <w:rsid w:val="00030BC2"/>
    <w:rsid w:val="00031084"/>
    <w:rsid w:val="000322FA"/>
    <w:rsid w:val="00035170"/>
    <w:rsid w:val="00035257"/>
    <w:rsid w:val="00036273"/>
    <w:rsid w:val="000403B6"/>
    <w:rsid w:val="00043C85"/>
    <w:rsid w:val="000454B7"/>
    <w:rsid w:val="00045725"/>
    <w:rsid w:val="000468F3"/>
    <w:rsid w:val="00046B05"/>
    <w:rsid w:val="00046EFD"/>
    <w:rsid w:val="000522C1"/>
    <w:rsid w:val="00054B46"/>
    <w:rsid w:val="0005702C"/>
    <w:rsid w:val="00061A7A"/>
    <w:rsid w:val="000627E6"/>
    <w:rsid w:val="0006339B"/>
    <w:rsid w:val="00063525"/>
    <w:rsid w:val="00063C71"/>
    <w:rsid w:val="0006562E"/>
    <w:rsid w:val="00066D09"/>
    <w:rsid w:val="000674C0"/>
    <w:rsid w:val="0007187C"/>
    <w:rsid w:val="000728E7"/>
    <w:rsid w:val="00072EA0"/>
    <w:rsid w:val="00076874"/>
    <w:rsid w:val="00080100"/>
    <w:rsid w:val="0008017F"/>
    <w:rsid w:val="000810A5"/>
    <w:rsid w:val="00081B65"/>
    <w:rsid w:val="00081F4C"/>
    <w:rsid w:val="000846BD"/>
    <w:rsid w:val="00086962"/>
    <w:rsid w:val="00091749"/>
    <w:rsid w:val="00095DE2"/>
    <w:rsid w:val="00096451"/>
    <w:rsid w:val="00097C42"/>
    <w:rsid w:val="000A07B1"/>
    <w:rsid w:val="000A24C0"/>
    <w:rsid w:val="000A49C8"/>
    <w:rsid w:val="000A65A7"/>
    <w:rsid w:val="000B2F90"/>
    <w:rsid w:val="000B4BF3"/>
    <w:rsid w:val="000B579E"/>
    <w:rsid w:val="000B7FFC"/>
    <w:rsid w:val="000C19EA"/>
    <w:rsid w:val="000C5181"/>
    <w:rsid w:val="000C664C"/>
    <w:rsid w:val="000C7BF0"/>
    <w:rsid w:val="000D1140"/>
    <w:rsid w:val="000D1833"/>
    <w:rsid w:val="000D2968"/>
    <w:rsid w:val="000E14DC"/>
    <w:rsid w:val="000E1573"/>
    <w:rsid w:val="000E164A"/>
    <w:rsid w:val="000E257C"/>
    <w:rsid w:val="000E67F5"/>
    <w:rsid w:val="000F08B7"/>
    <w:rsid w:val="000F0D1B"/>
    <w:rsid w:val="000F363B"/>
    <w:rsid w:val="000F3BF6"/>
    <w:rsid w:val="000F56E1"/>
    <w:rsid w:val="000F729A"/>
    <w:rsid w:val="000F7640"/>
    <w:rsid w:val="0010167C"/>
    <w:rsid w:val="00101CCB"/>
    <w:rsid w:val="0010596D"/>
    <w:rsid w:val="00105E01"/>
    <w:rsid w:val="0010693B"/>
    <w:rsid w:val="00106B4D"/>
    <w:rsid w:val="001079A0"/>
    <w:rsid w:val="001129AD"/>
    <w:rsid w:val="00121A26"/>
    <w:rsid w:val="00123423"/>
    <w:rsid w:val="00123555"/>
    <w:rsid w:val="0012552D"/>
    <w:rsid w:val="00126B23"/>
    <w:rsid w:val="001276A8"/>
    <w:rsid w:val="00127B21"/>
    <w:rsid w:val="00127B8E"/>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E5E"/>
    <w:rsid w:val="00156EF6"/>
    <w:rsid w:val="00157BDF"/>
    <w:rsid w:val="001603D9"/>
    <w:rsid w:val="00160583"/>
    <w:rsid w:val="00162507"/>
    <w:rsid w:val="0016374B"/>
    <w:rsid w:val="001642FF"/>
    <w:rsid w:val="00167082"/>
    <w:rsid w:val="00167642"/>
    <w:rsid w:val="00170228"/>
    <w:rsid w:val="0017207A"/>
    <w:rsid w:val="001765E6"/>
    <w:rsid w:val="001770A3"/>
    <w:rsid w:val="00177C69"/>
    <w:rsid w:val="0018093F"/>
    <w:rsid w:val="0018336B"/>
    <w:rsid w:val="001836F3"/>
    <w:rsid w:val="00185D58"/>
    <w:rsid w:val="00186742"/>
    <w:rsid w:val="0018782A"/>
    <w:rsid w:val="00193914"/>
    <w:rsid w:val="00193CD5"/>
    <w:rsid w:val="001949CF"/>
    <w:rsid w:val="001A181C"/>
    <w:rsid w:val="001A329F"/>
    <w:rsid w:val="001A3FF9"/>
    <w:rsid w:val="001A4C95"/>
    <w:rsid w:val="001A6755"/>
    <w:rsid w:val="001A784E"/>
    <w:rsid w:val="001A7B56"/>
    <w:rsid w:val="001B0B37"/>
    <w:rsid w:val="001B153D"/>
    <w:rsid w:val="001C0B3F"/>
    <w:rsid w:val="001C12F4"/>
    <w:rsid w:val="001C23E8"/>
    <w:rsid w:val="001C2590"/>
    <w:rsid w:val="001C3A1E"/>
    <w:rsid w:val="001C44CC"/>
    <w:rsid w:val="001C79FA"/>
    <w:rsid w:val="001D15A6"/>
    <w:rsid w:val="001D2912"/>
    <w:rsid w:val="001D33EA"/>
    <w:rsid w:val="001D340C"/>
    <w:rsid w:val="001D5BC3"/>
    <w:rsid w:val="001D60AC"/>
    <w:rsid w:val="001D70C0"/>
    <w:rsid w:val="001D7171"/>
    <w:rsid w:val="001E016E"/>
    <w:rsid w:val="001E0F54"/>
    <w:rsid w:val="001E562D"/>
    <w:rsid w:val="001E72C1"/>
    <w:rsid w:val="001F0590"/>
    <w:rsid w:val="001F14EC"/>
    <w:rsid w:val="001F36CD"/>
    <w:rsid w:val="001F4437"/>
    <w:rsid w:val="001F4F07"/>
    <w:rsid w:val="001F7051"/>
    <w:rsid w:val="00200F68"/>
    <w:rsid w:val="0020104E"/>
    <w:rsid w:val="002061CB"/>
    <w:rsid w:val="00207B06"/>
    <w:rsid w:val="002127E7"/>
    <w:rsid w:val="00212883"/>
    <w:rsid w:val="00213111"/>
    <w:rsid w:val="00215591"/>
    <w:rsid w:val="00216E14"/>
    <w:rsid w:val="002172E7"/>
    <w:rsid w:val="002178FC"/>
    <w:rsid w:val="002209F4"/>
    <w:rsid w:val="00222094"/>
    <w:rsid w:val="00223AA3"/>
    <w:rsid w:val="002252AE"/>
    <w:rsid w:val="002276D2"/>
    <w:rsid w:val="00231510"/>
    <w:rsid w:val="00232B83"/>
    <w:rsid w:val="00233E03"/>
    <w:rsid w:val="002346C4"/>
    <w:rsid w:val="0023484F"/>
    <w:rsid w:val="00236686"/>
    <w:rsid w:val="00236EFB"/>
    <w:rsid w:val="0024057D"/>
    <w:rsid w:val="00242434"/>
    <w:rsid w:val="00242697"/>
    <w:rsid w:val="00242DB7"/>
    <w:rsid w:val="002445B2"/>
    <w:rsid w:val="00247391"/>
    <w:rsid w:val="00250EAE"/>
    <w:rsid w:val="00251B5D"/>
    <w:rsid w:val="0025219A"/>
    <w:rsid w:val="00255492"/>
    <w:rsid w:val="00256928"/>
    <w:rsid w:val="002570DA"/>
    <w:rsid w:val="0026073A"/>
    <w:rsid w:val="002607F2"/>
    <w:rsid w:val="00262F0F"/>
    <w:rsid w:val="002644C6"/>
    <w:rsid w:val="0026589D"/>
    <w:rsid w:val="00265B02"/>
    <w:rsid w:val="00267F7F"/>
    <w:rsid w:val="002725C2"/>
    <w:rsid w:val="00274DFE"/>
    <w:rsid w:val="0027555B"/>
    <w:rsid w:val="0027612C"/>
    <w:rsid w:val="002818BC"/>
    <w:rsid w:val="002845A5"/>
    <w:rsid w:val="00286603"/>
    <w:rsid w:val="002914E1"/>
    <w:rsid w:val="0029243D"/>
    <w:rsid w:val="002933B7"/>
    <w:rsid w:val="002942D1"/>
    <w:rsid w:val="00296356"/>
    <w:rsid w:val="002975BE"/>
    <w:rsid w:val="002A011C"/>
    <w:rsid w:val="002A07E1"/>
    <w:rsid w:val="002A09A5"/>
    <w:rsid w:val="002A0ACF"/>
    <w:rsid w:val="002A1DCC"/>
    <w:rsid w:val="002A271A"/>
    <w:rsid w:val="002A51D4"/>
    <w:rsid w:val="002A5315"/>
    <w:rsid w:val="002A5421"/>
    <w:rsid w:val="002B4C6F"/>
    <w:rsid w:val="002B4F06"/>
    <w:rsid w:val="002B527F"/>
    <w:rsid w:val="002B54EC"/>
    <w:rsid w:val="002B714E"/>
    <w:rsid w:val="002C12B1"/>
    <w:rsid w:val="002C3B7F"/>
    <w:rsid w:val="002C5DF1"/>
    <w:rsid w:val="002C75B9"/>
    <w:rsid w:val="002C7ECF"/>
    <w:rsid w:val="002D3BAB"/>
    <w:rsid w:val="002D4376"/>
    <w:rsid w:val="002D4B11"/>
    <w:rsid w:val="002D4CAB"/>
    <w:rsid w:val="002D4DB9"/>
    <w:rsid w:val="002D51FB"/>
    <w:rsid w:val="002D707C"/>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0FB3"/>
    <w:rsid w:val="00301E22"/>
    <w:rsid w:val="003037E3"/>
    <w:rsid w:val="00303923"/>
    <w:rsid w:val="003049F8"/>
    <w:rsid w:val="00304C32"/>
    <w:rsid w:val="00306164"/>
    <w:rsid w:val="00310C67"/>
    <w:rsid w:val="0031223A"/>
    <w:rsid w:val="00317899"/>
    <w:rsid w:val="00320325"/>
    <w:rsid w:val="00322368"/>
    <w:rsid w:val="0032257A"/>
    <w:rsid w:val="00323EAD"/>
    <w:rsid w:val="00324F37"/>
    <w:rsid w:val="00326062"/>
    <w:rsid w:val="00326C2F"/>
    <w:rsid w:val="00331151"/>
    <w:rsid w:val="003313C4"/>
    <w:rsid w:val="003337B6"/>
    <w:rsid w:val="00341DDA"/>
    <w:rsid w:val="00350C50"/>
    <w:rsid w:val="00350DB3"/>
    <w:rsid w:val="00355EBA"/>
    <w:rsid w:val="00355EC4"/>
    <w:rsid w:val="003575D7"/>
    <w:rsid w:val="00357865"/>
    <w:rsid w:val="00357C58"/>
    <w:rsid w:val="003611FE"/>
    <w:rsid w:val="00361BAD"/>
    <w:rsid w:val="00366A2B"/>
    <w:rsid w:val="00366BB9"/>
    <w:rsid w:val="003730D7"/>
    <w:rsid w:val="00381CA0"/>
    <w:rsid w:val="003921D5"/>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ADC"/>
    <w:rsid w:val="003C4858"/>
    <w:rsid w:val="003C4A78"/>
    <w:rsid w:val="003C50B7"/>
    <w:rsid w:val="003D2037"/>
    <w:rsid w:val="003D2D80"/>
    <w:rsid w:val="003D41A4"/>
    <w:rsid w:val="003D5DC4"/>
    <w:rsid w:val="003D742E"/>
    <w:rsid w:val="003E0ADE"/>
    <w:rsid w:val="003E2612"/>
    <w:rsid w:val="003E3BAB"/>
    <w:rsid w:val="003E48B4"/>
    <w:rsid w:val="003E626C"/>
    <w:rsid w:val="003E7A54"/>
    <w:rsid w:val="003F048F"/>
    <w:rsid w:val="003F0943"/>
    <w:rsid w:val="003F35DF"/>
    <w:rsid w:val="003F3F1D"/>
    <w:rsid w:val="003F695A"/>
    <w:rsid w:val="00400660"/>
    <w:rsid w:val="00406894"/>
    <w:rsid w:val="00410201"/>
    <w:rsid w:val="00410FA7"/>
    <w:rsid w:val="004143F0"/>
    <w:rsid w:val="00420632"/>
    <w:rsid w:val="004221FA"/>
    <w:rsid w:val="00427613"/>
    <w:rsid w:val="00432A1D"/>
    <w:rsid w:val="00433832"/>
    <w:rsid w:val="00434610"/>
    <w:rsid w:val="0043533D"/>
    <w:rsid w:val="00435AAA"/>
    <w:rsid w:val="00437D5A"/>
    <w:rsid w:val="00441002"/>
    <w:rsid w:val="00442BF7"/>
    <w:rsid w:val="00442E74"/>
    <w:rsid w:val="00444C11"/>
    <w:rsid w:val="00446EF6"/>
    <w:rsid w:val="004507D0"/>
    <w:rsid w:val="00452FA9"/>
    <w:rsid w:val="004549F3"/>
    <w:rsid w:val="00456830"/>
    <w:rsid w:val="00456AF8"/>
    <w:rsid w:val="00457927"/>
    <w:rsid w:val="00462482"/>
    <w:rsid w:val="00462759"/>
    <w:rsid w:val="00462A4C"/>
    <w:rsid w:val="00463730"/>
    <w:rsid w:val="0046474A"/>
    <w:rsid w:val="0047048E"/>
    <w:rsid w:val="00470F4E"/>
    <w:rsid w:val="004721D9"/>
    <w:rsid w:val="00472872"/>
    <w:rsid w:val="00472DBE"/>
    <w:rsid w:val="004745CB"/>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4B27"/>
    <w:rsid w:val="0049681E"/>
    <w:rsid w:val="0049769A"/>
    <w:rsid w:val="00497CE1"/>
    <w:rsid w:val="004A0817"/>
    <w:rsid w:val="004B121D"/>
    <w:rsid w:val="004B3714"/>
    <w:rsid w:val="004B387C"/>
    <w:rsid w:val="004C0ECC"/>
    <w:rsid w:val="004C129B"/>
    <w:rsid w:val="004C228D"/>
    <w:rsid w:val="004C28A4"/>
    <w:rsid w:val="004C39BD"/>
    <w:rsid w:val="004C3BF5"/>
    <w:rsid w:val="004C4B23"/>
    <w:rsid w:val="004D084A"/>
    <w:rsid w:val="004D1403"/>
    <w:rsid w:val="004D1BA4"/>
    <w:rsid w:val="004D27BF"/>
    <w:rsid w:val="004D2F15"/>
    <w:rsid w:val="004D4D04"/>
    <w:rsid w:val="004E4D46"/>
    <w:rsid w:val="004E5659"/>
    <w:rsid w:val="004E585F"/>
    <w:rsid w:val="004F0663"/>
    <w:rsid w:val="004F166C"/>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96D"/>
    <w:rsid w:val="00524B83"/>
    <w:rsid w:val="00525B98"/>
    <w:rsid w:val="00525F53"/>
    <w:rsid w:val="00526E79"/>
    <w:rsid w:val="00527A31"/>
    <w:rsid w:val="00530ED0"/>
    <w:rsid w:val="00531810"/>
    <w:rsid w:val="00532006"/>
    <w:rsid w:val="005413BA"/>
    <w:rsid w:val="00541FC8"/>
    <w:rsid w:val="00543D57"/>
    <w:rsid w:val="00544FEB"/>
    <w:rsid w:val="0055181C"/>
    <w:rsid w:val="00551F16"/>
    <w:rsid w:val="00552334"/>
    <w:rsid w:val="00555B25"/>
    <w:rsid w:val="0055685D"/>
    <w:rsid w:val="0055776D"/>
    <w:rsid w:val="005624FD"/>
    <w:rsid w:val="0056270F"/>
    <w:rsid w:val="00565945"/>
    <w:rsid w:val="00581057"/>
    <w:rsid w:val="0058391F"/>
    <w:rsid w:val="00583B43"/>
    <w:rsid w:val="00584C6C"/>
    <w:rsid w:val="00585034"/>
    <w:rsid w:val="00586098"/>
    <w:rsid w:val="00590021"/>
    <w:rsid w:val="005918BB"/>
    <w:rsid w:val="005950ED"/>
    <w:rsid w:val="005A07CF"/>
    <w:rsid w:val="005A0C17"/>
    <w:rsid w:val="005A2FA9"/>
    <w:rsid w:val="005A5770"/>
    <w:rsid w:val="005B2746"/>
    <w:rsid w:val="005B492F"/>
    <w:rsid w:val="005B4F10"/>
    <w:rsid w:val="005B5005"/>
    <w:rsid w:val="005B5BFF"/>
    <w:rsid w:val="005C54C8"/>
    <w:rsid w:val="005D0BD0"/>
    <w:rsid w:val="005D37EF"/>
    <w:rsid w:val="005D3D38"/>
    <w:rsid w:val="005D4649"/>
    <w:rsid w:val="005D47BF"/>
    <w:rsid w:val="005D5CC4"/>
    <w:rsid w:val="005D6A8D"/>
    <w:rsid w:val="005E111E"/>
    <w:rsid w:val="005E1A8C"/>
    <w:rsid w:val="005E4B76"/>
    <w:rsid w:val="005F0946"/>
    <w:rsid w:val="005F1371"/>
    <w:rsid w:val="005F2933"/>
    <w:rsid w:val="00600E3B"/>
    <w:rsid w:val="00604F35"/>
    <w:rsid w:val="0061041D"/>
    <w:rsid w:val="00613D08"/>
    <w:rsid w:val="006140C9"/>
    <w:rsid w:val="0061580A"/>
    <w:rsid w:val="00615A6F"/>
    <w:rsid w:val="00616B88"/>
    <w:rsid w:val="00621AEF"/>
    <w:rsid w:val="0062228A"/>
    <w:rsid w:val="00624195"/>
    <w:rsid w:val="00626D0B"/>
    <w:rsid w:val="00633162"/>
    <w:rsid w:val="00633E45"/>
    <w:rsid w:val="00634DA7"/>
    <w:rsid w:val="00636455"/>
    <w:rsid w:val="0064105F"/>
    <w:rsid w:val="00644905"/>
    <w:rsid w:val="00646C91"/>
    <w:rsid w:val="00647067"/>
    <w:rsid w:val="00650983"/>
    <w:rsid w:val="00651965"/>
    <w:rsid w:val="00651A4E"/>
    <w:rsid w:val="006524BA"/>
    <w:rsid w:val="00654756"/>
    <w:rsid w:val="00654A68"/>
    <w:rsid w:val="00655DB4"/>
    <w:rsid w:val="00657728"/>
    <w:rsid w:val="0066004D"/>
    <w:rsid w:val="006604B6"/>
    <w:rsid w:val="006622D9"/>
    <w:rsid w:val="006645C7"/>
    <w:rsid w:val="00665D87"/>
    <w:rsid w:val="006679CA"/>
    <w:rsid w:val="00667CFB"/>
    <w:rsid w:val="0067307C"/>
    <w:rsid w:val="00673C2D"/>
    <w:rsid w:val="006757AD"/>
    <w:rsid w:val="006841CB"/>
    <w:rsid w:val="00686490"/>
    <w:rsid w:val="00686603"/>
    <w:rsid w:val="0068672B"/>
    <w:rsid w:val="00690260"/>
    <w:rsid w:val="006908C9"/>
    <w:rsid w:val="006908D2"/>
    <w:rsid w:val="006931D3"/>
    <w:rsid w:val="0069387C"/>
    <w:rsid w:val="00697F8D"/>
    <w:rsid w:val="006A0389"/>
    <w:rsid w:val="006A13AD"/>
    <w:rsid w:val="006A2A95"/>
    <w:rsid w:val="006A3032"/>
    <w:rsid w:val="006A4A5F"/>
    <w:rsid w:val="006A6962"/>
    <w:rsid w:val="006A7426"/>
    <w:rsid w:val="006B0634"/>
    <w:rsid w:val="006B2247"/>
    <w:rsid w:val="006B291D"/>
    <w:rsid w:val="006B4473"/>
    <w:rsid w:val="006B509A"/>
    <w:rsid w:val="006C0012"/>
    <w:rsid w:val="006C17D4"/>
    <w:rsid w:val="006C3381"/>
    <w:rsid w:val="006C57DD"/>
    <w:rsid w:val="006D3B75"/>
    <w:rsid w:val="006D5305"/>
    <w:rsid w:val="006D6015"/>
    <w:rsid w:val="006D6465"/>
    <w:rsid w:val="006D723E"/>
    <w:rsid w:val="006D7545"/>
    <w:rsid w:val="006D7B16"/>
    <w:rsid w:val="006E270C"/>
    <w:rsid w:val="006E6655"/>
    <w:rsid w:val="006E7A40"/>
    <w:rsid w:val="006F2146"/>
    <w:rsid w:val="006F2AEC"/>
    <w:rsid w:val="006F51AA"/>
    <w:rsid w:val="00700A4B"/>
    <w:rsid w:val="00701855"/>
    <w:rsid w:val="0070483C"/>
    <w:rsid w:val="00704FC6"/>
    <w:rsid w:val="00705100"/>
    <w:rsid w:val="00707D21"/>
    <w:rsid w:val="0071150C"/>
    <w:rsid w:val="00711A1A"/>
    <w:rsid w:val="00714096"/>
    <w:rsid w:val="00714963"/>
    <w:rsid w:val="007161F2"/>
    <w:rsid w:val="00717125"/>
    <w:rsid w:val="00717D46"/>
    <w:rsid w:val="00724973"/>
    <w:rsid w:val="00724EA0"/>
    <w:rsid w:val="00733319"/>
    <w:rsid w:val="00736205"/>
    <w:rsid w:val="00737B4A"/>
    <w:rsid w:val="007419E5"/>
    <w:rsid w:val="007422B1"/>
    <w:rsid w:val="00742522"/>
    <w:rsid w:val="00745075"/>
    <w:rsid w:val="0074572E"/>
    <w:rsid w:val="007465D3"/>
    <w:rsid w:val="00751F63"/>
    <w:rsid w:val="007548BE"/>
    <w:rsid w:val="007556D7"/>
    <w:rsid w:val="00755767"/>
    <w:rsid w:val="007557B8"/>
    <w:rsid w:val="00755A7A"/>
    <w:rsid w:val="00756A08"/>
    <w:rsid w:val="0075785A"/>
    <w:rsid w:val="0076183B"/>
    <w:rsid w:val="00761F0F"/>
    <w:rsid w:val="007623E4"/>
    <w:rsid w:val="00762B4D"/>
    <w:rsid w:val="00763A35"/>
    <w:rsid w:val="00764DD5"/>
    <w:rsid w:val="00766DEB"/>
    <w:rsid w:val="007678E6"/>
    <w:rsid w:val="00770461"/>
    <w:rsid w:val="00774503"/>
    <w:rsid w:val="0077570A"/>
    <w:rsid w:val="0077571E"/>
    <w:rsid w:val="0077620B"/>
    <w:rsid w:val="00785F4C"/>
    <w:rsid w:val="00790094"/>
    <w:rsid w:val="007901F7"/>
    <w:rsid w:val="00791C28"/>
    <w:rsid w:val="00792E30"/>
    <w:rsid w:val="0079490A"/>
    <w:rsid w:val="00794D4D"/>
    <w:rsid w:val="0079578B"/>
    <w:rsid w:val="00795D00"/>
    <w:rsid w:val="00796F20"/>
    <w:rsid w:val="007B0809"/>
    <w:rsid w:val="007B107C"/>
    <w:rsid w:val="007B11DC"/>
    <w:rsid w:val="007B22A2"/>
    <w:rsid w:val="007B419C"/>
    <w:rsid w:val="007B4346"/>
    <w:rsid w:val="007B492B"/>
    <w:rsid w:val="007B5365"/>
    <w:rsid w:val="007B5C68"/>
    <w:rsid w:val="007C0BD6"/>
    <w:rsid w:val="007C3072"/>
    <w:rsid w:val="007D10BD"/>
    <w:rsid w:val="007D26D6"/>
    <w:rsid w:val="007D3A04"/>
    <w:rsid w:val="007D3F6C"/>
    <w:rsid w:val="007E5949"/>
    <w:rsid w:val="007E69E6"/>
    <w:rsid w:val="007E6E75"/>
    <w:rsid w:val="007E787A"/>
    <w:rsid w:val="007F2EDB"/>
    <w:rsid w:val="007F63E2"/>
    <w:rsid w:val="007F683F"/>
    <w:rsid w:val="00802879"/>
    <w:rsid w:val="00803451"/>
    <w:rsid w:val="00807B1F"/>
    <w:rsid w:val="00810453"/>
    <w:rsid w:val="00811626"/>
    <w:rsid w:val="008136BE"/>
    <w:rsid w:val="008152B7"/>
    <w:rsid w:val="00816C11"/>
    <w:rsid w:val="00817125"/>
    <w:rsid w:val="008171F1"/>
    <w:rsid w:val="00822F0D"/>
    <w:rsid w:val="0082397E"/>
    <w:rsid w:val="00823C4D"/>
    <w:rsid w:val="0082638D"/>
    <w:rsid w:val="00827384"/>
    <w:rsid w:val="008279C6"/>
    <w:rsid w:val="008318DA"/>
    <w:rsid w:val="0083356F"/>
    <w:rsid w:val="00833894"/>
    <w:rsid w:val="00833DE4"/>
    <w:rsid w:val="00834B07"/>
    <w:rsid w:val="00834E9E"/>
    <w:rsid w:val="00840677"/>
    <w:rsid w:val="00841160"/>
    <w:rsid w:val="00841DCC"/>
    <w:rsid w:val="008433B6"/>
    <w:rsid w:val="00843A8B"/>
    <w:rsid w:val="008444FC"/>
    <w:rsid w:val="00845C8C"/>
    <w:rsid w:val="00847C11"/>
    <w:rsid w:val="00847C99"/>
    <w:rsid w:val="008521A5"/>
    <w:rsid w:val="00852C5D"/>
    <w:rsid w:val="0085698A"/>
    <w:rsid w:val="00860D27"/>
    <w:rsid w:val="008610DE"/>
    <w:rsid w:val="00861F24"/>
    <w:rsid w:val="0086211E"/>
    <w:rsid w:val="00862219"/>
    <w:rsid w:val="0086253A"/>
    <w:rsid w:val="008638E7"/>
    <w:rsid w:val="00865665"/>
    <w:rsid w:val="00870376"/>
    <w:rsid w:val="008739E5"/>
    <w:rsid w:val="00873B08"/>
    <w:rsid w:val="008740D7"/>
    <w:rsid w:val="00875215"/>
    <w:rsid w:val="00884249"/>
    <w:rsid w:val="00885A97"/>
    <w:rsid w:val="0089137E"/>
    <w:rsid w:val="00892191"/>
    <w:rsid w:val="00893CF6"/>
    <w:rsid w:val="008961C8"/>
    <w:rsid w:val="008969C7"/>
    <w:rsid w:val="00896A2F"/>
    <w:rsid w:val="00897981"/>
    <w:rsid w:val="008A05D6"/>
    <w:rsid w:val="008A0B38"/>
    <w:rsid w:val="008A20B5"/>
    <w:rsid w:val="008A48EB"/>
    <w:rsid w:val="008A4DAD"/>
    <w:rsid w:val="008A5D2C"/>
    <w:rsid w:val="008A7191"/>
    <w:rsid w:val="008A795B"/>
    <w:rsid w:val="008B2687"/>
    <w:rsid w:val="008B368F"/>
    <w:rsid w:val="008B39AE"/>
    <w:rsid w:val="008B7004"/>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4F8"/>
    <w:rsid w:val="008E1D29"/>
    <w:rsid w:val="008E429A"/>
    <w:rsid w:val="008E485B"/>
    <w:rsid w:val="008F04DF"/>
    <w:rsid w:val="008F0D28"/>
    <w:rsid w:val="008F1EEF"/>
    <w:rsid w:val="008F2883"/>
    <w:rsid w:val="008F4EAB"/>
    <w:rsid w:val="008F6C86"/>
    <w:rsid w:val="00902FBD"/>
    <w:rsid w:val="00906895"/>
    <w:rsid w:val="009114BA"/>
    <w:rsid w:val="00911E78"/>
    <w:rsid w:val="009124C0"/>
    <w:rsid w:val="00912E64"/>
    <w:rsid w:val="00914337"/>
    <w:rsid w:val="00914A7E"/>
    <w:rsid w:val="00924C40"/>
    <w:rsid w:val="00927032"/>
    <w:rsid w:val="009273C5"/>
    <w:rsid w:val="00930A51"/>
    <w:rsid w:val="00930E6C"/>
    <w:rsid w:val="00931BC5"/>
    <w:rsid w:val="00933CD2"/>
    <w:rsid w:val="00934CBA"/>
    <w:rsid w:val="00935C19"/>
    <w:rsid w:val="00936BA2"/>
    <w:rsid w:val="009377F8"/>
    <w:rsid w:val="00937D90"/>
    <w:rsid w:val="00945855"/>
    <w:rsid w:val="00945EB3"/>
    <w:rsid w:val="00947C83"/>
    <w:rsid w:val="00951364"/>
    <w:rsid w:val="00953C42"/>
    <w:rsid w:val="009550DE"/>
    <w:rsid w:val="00961399"/>
    <w:rsid w:val="00961E77"/>
    <w:rsid w:val="0096437B"/>
    <w:rsid w:val="009651BB"/>
    <w:rsid w:val="00965B92"/>
    <w:rsid w:val="00966865"/>
    <w:rsid w:val="009671D8"/>
    <w:rsid w:val="0097403B"/>
    <w:rsid w:val="00974D15"/>
    <w:rsid w:val="009822A0"/>
    <w:rsid w:val="00982E60"/>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21F1"/>
    <w:rsid w:val="009B3B0E"/>
    <w:rsid w:val="009B4384"/>
    <w:rsid w:val="009C261A"/>
    <w:rsid w:val="009C6038"/>
    <w:rsid w:val="009C74E7"/>
    <w:rsid w:val="009D002E"/>
    <w:rsid w:val="009D10AC"/>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1F5"/>
    <w:rsid w:val="00A20BA2"/>
    <w:rsid w:val="00A20C7B"/>
    <w:rsid w:val="00A20E50"/>
    <w:rsid w:val="00A24874"/>
    <w:rsid w:val="00A24DED"/>
    <w:rsid w:val="00A25093"/>
    <w:rsid w:val="00A3069D"/>
    <w:rsid w:val="00A320E8"/>
    <w:rsid w:val="00A35CEA"/>
    <w:rsid w:val="00A43EF2"/>
    <w:rsid w:val="00A44C91"/>
    <w:rsid w:val="00A46FE8"/>
    <w:rsid w:val="00A47908"/>
    <w:rsid w:val="00A513AE"/>
    <w:rsid w:val="00A513CF"/>
    <w:rsid w:val="00A51E99"/>
    <w:rsid w:val="00A52A8A"/>
    <w:rsid w:val="00A53D12"/>
    <w:rsid w:val="00A547F9"/>
    <w:rsid w:val="00A60D89"/>
    <w:rsid w:val="00A60DAC"/>
    <w:rsid w:val="00A67B4A"/>
    <w:rsid w:val="00A71795"/>
    <w:rsid w:val="00A72753"/>
    <w:rsid w:val="00A73B32"/>
    <w:rsid w:val="00A73EF5"/>
    <w:rsid w:val="00A77FBF"/>
    <w:rsid w:val="00A80DAE"/>
    <w:rsid w:val="00A811C1"/>
    <w:rsid w:val="00A84C7F"/>
    <w:rsid w:val="00A85DFC"/>
    <w:rsid w:val="00A86177"/>
    <w:rsid w:val="00A86724"/>
    <w:rsid w:val="00A87C24"/>
    <w:rsid w:val="00A91444"/>
    <w:rsid w:val="00A91925"/>
    <w:rsid w:val="00A923BC"/>
    <w:rsid w:val="00A9338D"/>
    <w:rsid w:val="00A95990"/>
    <w:rsid w:val="00AA03C9"/>
    <w:rsid w:val="00AA19AF"/>
    <w:rsid w:val="00AA3B1F"/>
    <w:rsid w:val="00AA425E"/>
    <w:rsid w:val="00AB0581"/>
    <w:rsid w:val="00AB2428"/>
    <w:rsid w:val="00AB2812"/>
    <w:rsid w:val="00AB4E36"/>
    <w:rsid w:val="00AB5E61"/>
    <w:rsid w:val="00AB76B1"/>
    <w:rsid w:val="00AB7A3D"/>
    <w:rsid w:val="00AC0544"/>
    <w:rsid w:val="00AC37FB"/>
    <w:rsid w:val="00AC3DCC"/>
    <w:rsid w:val="00AD0766"/>
    <w:rsid w:val="00AD3ABD"/>
    <w:rsid w:val="00AD6DD4"/>
    <w:rsid w:val="00AD7884"/>
    <w:rsid w:val="00AE13C9"/>
    <w:rsid w:val="00AE25F2"/>
    <w:rsid w:val="00AE2CCB"/>
    <w:rsid w:val="00AE2EBA"/>
    <w:rsid w:val="00AE3869"/>
    <w:rsid w:val="00AE4FE5"/>
    <w:rsid w:val="00AE59DC"/>
    <w:rsid w:val="00AE5B2D"/>
    <w:rsid w:val="00AE5C04"/>
    <w:rsid w:val="00AE63BF"/>
    <w:rsid w:val="00AF2AAA"/>
    <w:rsid w:val="00AF52CB"/>
    <w:rsid w:val="00AF675A"/>
    <w:rsid w:val="00AF68D7"/>
    <w:rsid w:val="00B00B2F"/>
    <w:rsid w:val="00B01059"/>
    <w:rsid w:val="00B018EF"/>
    <w:rsid w:val="00B019CA"/>
    <w:rsid w:val="00B023A3"/>
    <w:rsid w:val="00B026F0"/>
    <w:rsid w:val="00B029DE"/>
    <w:rsid w:val="00B0328E"/>
    <w:rsid w:val="00B04DCE"/>
    <w:rsid w:val="00B05656"/>
    <w:rsid w:val="00B11666"/>
    <w:rsid w:val="00B129BF"/>
    <w:rsid w:val="00B14857"/>
    <w:rsid w:val="00B151FD"/>
    <w:rsid w:val="00B1549E"/>
    <w:rsid w:val="00B165FD"/>
    <w:rsid w:val="00B2176A"/>
    <w:rsid w:val="00B21A9A"/>
    <w:rsid w:val="00B21BD2"/>
    <w:rsid w:val="00B25DF9"/>
    <w:rsid w:val="00B26411"/>
    <w:rsid w:val="00B26C78"/>
    <w:rsid w:val="00B32C7C"/>
    <w:rsid w:val="00B337A2"/>
    <w:rsid w:val="00B35280"/>
    <w:rsid w:val="00B35A25"/>
    <w:rsid w:val="00B36410"/>
    <w:rsid w:val="00B36C9C"/>
    <w:rsid w:val="00B375E9"/>
    <w:rsid w:val="00B43EF9"/>
    <w:rsid w:val="00B445A3"/>
    <w:rsid w:val="00B46039"/>
    <w:rsid w:val="00B50370"/>
    <w:rsid w:val="00B513D9"/>
    <w:rsid w:val="00B52982"/>
    <w:rsid w:val="00B52B5E"/>
    <w:rsid w:val="00B53231"/>
    <w:rsid w:val="00B57AD5"/>
    <w:rsid w:val="00B61937"/>
    <w:rsid w:val="00B61D1B"/>
    <w:rsid w:val="00B61E8D"/>
    <w:rsid w:val="00B61EB1"/>
    <w:rsid w:val="00B621F7"/>
    <w:rsid w:val="00B64D6A"/>
    <w:rsid w:val="00B67888"/>
    <w:rsid w:val="00B72E05"/>
    <w:rsid w:val="00B734C9"/>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2A54"/>
    <w:rsid w:val="00BA30AA"/>
    <w:rsid w:val="00BA3892"/>
    <w:rsid w:val="00BA3A01"/>
    <w:rsid w:val="00BA4DBA"/>
    <w:rsid w:val="00BA5B34"/>
    <w:rsid w:val="00BA5FCB"/>
    <w:rsid w:val="00BA6A5A"/>
    <w:rsid w:val="00BB03A5"/>
    <w:rsid w:val="00BB0871"/>
    <w:rsid w:val="00BB13CC"/>
    <w:rsid w:val="00BB2C03"/>
    <w:rsid w:val="00BB3D95"/>
    <w:rsid w:val="00BB4BF1"/>
    <w:rsid w:val="00BB5386"/>
    <w:rsid w:val="00BB7D99"/>
    <w:rsid w:val="00BC0881"/>
    <w:rsid w:val="00BC5F8F"/>
    <w:rsid w:val="00BC691C"/>
    <w:rsid w:val="00BD0156"/>
    <w:rsid w:val="00BD1677"/>
    <w:rsid w:val="00BD52BA"/>
    <w:rsid w:val="00BD531B"/>
    <w:rsid w:val="00BD6198"/>
    <w:rsid w:val="00BD6D31"/>
    <w:rsid w:val="00BE1EC9"/>
    <w:rsid w:val="00BE6930"/>
    <w:rsid w:val="00BF08D7"/>
    <w:rsid w:val="00BF234D"/>
    <w:rsid w:val="00BF48EA"/>
    <w:rsid w:val="00BF4BAD"/>
    <w:rsid w:val="00BF50A0"/>
    <w:rsid w:val="00C000F8"/>
    <w:rsid w:val="00C006AA"/>
    <w:rsid w:val="00C02225"/>
    <w:rsid w:val="00C0324A"/>
    <w:rsid w:val="00C04692"/>
    <w:rsid w:val="00C04D75"/>
    <w:rsid w:val="00C053C1"/>
    <w:rsid w:val="00C0605F"/>
    <w:rsid w:val="00C07596"/>
    <w:rsid w:val="00C076D6"/>
    <w:rsid w:val="00C1077A"/>
    <w:rsid w:val="00C11BA3"/>
    <w:rsid w:val="00C12244"/>
    <w:rsid w:val="00C12AF2"/>
    <w:rsid w:val="00C15369"/>
    <w:rsid w:val="00C17344"/>
    <w:rsid w:val="00C20096"/>
    <w:rsid w:val="00C209B5"/>
    <w:rsid w:val="00C2103E"/>
    <w:rsid w:val="00C226C8"/>
    <w:rsid w:val="00C2308A"/>
    <w:rsid w:val="00C23278"/>
    <w:rsid w:val="00C255CD"/>
    <w:rsid w:val="00C25E92"/>
    <w:rsid w:val="00C27564"/>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2B35"/>
    <w:rsid w:val="00C82DE6"/>
    <w:rsid w:val="00C86BD7"/>
    <w:rsid w:val="00C90FB6"/>
    <w:rsid w:val="00C911BF"/>
    <w:rsid w:val="00C913D8"/>
    <w:rsid w:val="00C91B90"/>
    <w:rsid w:val="00C925B6"/>
    <w:rsid w:val="00C93F01"/>
    <w:rsid w:val="00C954C1"/>
    <w:rsid w:val="00C9691A"/>
    <w:rsid w:val="00C976A6"/>
    <w:rsid w:val="00C97D28"/>
    <w:rsid w:val="00CA40AA"/>
    <w:rsid w:val="00CA40FA"/>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64F8"/>
    <w:rsid w:val="00CD67F2"/>
    <w:rsid w:val="00CE09EE"/>
    <w:rsid w:val="00CE2A7D"/>
    <w:rsid w:val="00CE3E26"/>
    <w:rsid w:val="00CE50BB"/>
    <w:rsid w:val="00CE7978"/>
    <w:rsid w:val="00CE7E49"/>
    <w:rsid w:val="00CF34DF"/>
    <w:rsid w:val="00CF7360"/>
    <w:rsid w:val="00D00568"/>
    <w:rsid w:val="00D01A62"/>
    <w:rsid w:val="00D0269A"/>
    <w:rsid w:val="00D05AA5"/>
    <w:rsid w:val="00D105DF"/>
    <w:rsid w:val="00D11A30"/>
    <w:rsid w:val="00D124FC"/>
    <w:rsid w:val="00D14143"/>
    <w:rsid w:val="00D167AB"/>
    <w:rsid w:val="00D16EE3"/>
    <w:rsid w:val="00D17D13"/>
    <w:rsid w:val="00D2288F"/>
    <w:rsid w:val="00D22C87"/>
    <w:rsid w:val="00D23867"/>
    <w:rsid w:val="00D239D3"/>
    <w:rsid w:val="00D2408B"/>
    <w:rsid w:val="00D26183"/>
    <w:rsid w:val="00D2667A"/>
    <w:rsid w:val="00D31E7C"/>
    <w:rsid w:val="00D34BC3"/>
    <w:rsid w:val="00D35DA8"/>
    <w:rsid w:val="00D366FF"/>
    <w:rsid w:val="00D3673D"/>
    <w:rsid w:val="00D40CB5"/>
    <w:rsid w:val="00D42E8B"/>
    <w:rsid w:val="00D43E9E"/>
    <w:rsid w:val="00D445EE"/>
    <w:rsid w:val="00D44E23"/>
    <w:rsid w:val="00D462B5"/>
    <w:rsid w:val="00D467B3"/>
    <w:rsid w:val="00D518E6"/>
    <w:rsid w:val="00D57CA5"/>
    <w:rsid w:val="00D57E7A"/>
    <w:rsid w:val="00D60EDE"/>
    <w:rsid w:val="00D622E8"/>
    <w:rsid w:val="00D62C52"/>
    <w:rsid w:val="00D660DA"/>
    <w:rsid w:val="00D7094D"/>
    <w:rsid w:val="00D724FD"/>
    <w:rsid w:val="00D72B39"/>
    <w:rsid w:val="00D742FB"/>
    <w:rsid w:val="00D766A1"/>
    <w:rsid w:val="00D80815"/>
    <w:rsid w:val="00D81AF0"/>
    <w:rsid w:val="00D8252D"/>
    <w:rsid w:val="00D82A65"/>
    <w:rsid w:val="00D82FCF"/>
    <w:rsid w:val="00D83692"/>
    <w:rsid w:val="00D858DF"/>
    <w:rsid w:val="00D86F89"/>
    <w:rsid w:val="00D87852"/>
    <w:rsid w:val="00D87E45"/>
    <w:rsid w:val="00D940AF"/>
    <w:rsid w:val="00D96CF9"/>
    <w:rsid w:val="00DA03EB"/>
    <w:rsid w:val="00DA06B7"/>
    <w:rsid w:val="00DA1A0B"/>
    <w:rsid w:val="00DA2028"/>
    <w:rsid w:val="00DA295A"/>
    <w:rsid w:val="00DA34A9"/>
    <w:rsid w:val="00DA39C1"/>
    <w:rsid w:val="00DA5A1A"/>
    <w:rsid w:val="00DB3165"/>
    <w:rsid w:val="00DB4C7A"/>
    <w:rsid w:val="00DB74FF"/>
    <w:rsid w:val="00DC6235"/>
    <w:rsid w:val="00DC6A89"/>
    <w:rsid w:val="00DD0B68"/>
    <w:rsid w:val="00DD0BD2"/>
    <w:rsid w:val="00DD1A61"/>
    <w:rsid w:val="00DD1F6F"/>
    <w:rsid w:val="00DD3147"/>
    <w:rsid w:val="00DD3590"/>
    <w:rsid w:val="00DD58AF"/>
    <w:rsid w:val="00DD78BC"/>
    <w:rsid w:val="00DE0118"/>
    <w:rsid w:val="00DE0887"/>
    <w:rsid w:val="00DE10CF"/>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7373"/>
    <w:rsid w:val="00DF77D0"/>
    <w:rsid w:val="00E02253"/>
    <w:rsid w:val="00E0301C"/>
    <w:rsid w:val="00E07950"/>
    <w:rsid w:val="00E13CC7"/>
    <w:rsid w:val="00E176BE"/>
    <w:rsid w:val="00E23AA8"/>
    <w:rsid w:val="00E24842"/>
    <w:rsid w:val="00E26A7C"/>
    <w:rsid w:val="00E32091"/>
    <w:rsid w:val="00E33AB9"/>
    <w:rsid w:val="00E3403A"/>
    <w:rsid w:val="00E341A2"/>
    <w:rsid w:val="00E35B8D"/>
    <w:rsid w:val="00E36956"/>
    <w:rsid w:val="00E3786C"/>
    <w:rsid w:val="00E4607D"/>
    <w:rsid w:val="00E472F1"/>
    <w:rsid w:val="00E47DA8"/>
    <w:rsid w:val="00E47F3C"/>
    <w:rsid w:val="00E507B8"/>
    <w:rsid w:val="00E51985"/>
    <w:rsid w:val="00E5204C"/>
    <w:rsid w:val="00E52CAC"/>
    <w:rsid w:val="00E535C4"/>
    <w:rsid w:val="00E53B05"/>
    <w:rsid w:val="00E545B2"/>
    <w:rsid w:val="00E54E5C"/>
    <w:rsid w:val="00E5601C"/>
    <w:rsid w:val="00E561B8"/>
    <w:rsid w:val="00E56450"/>
    <w:rsid w:val="00E60463"/>
    <w:rsid w:val="00E60809"/>
    <w:rsid w:val="00E60D56"/>
    <w:rsid w:val="00E6435C"/>
    <w:rsid w:val="00E66D85"/>
    <w:rsid w:val="00E67F8B"/>
    <w:rsid w:val="00E706D9"/>
    <w:rsid w:val="00E72322"/>
    <w:rsid w:val="00E724D9"/>
    <w:rsid w:val="00E744D6"/>
    <w:rsid w:val="00E75928"/>
    <w:rsid w:val="00E771A2"/>
    <w:rsid w:val="00E77EB2"/>
    <w:rsid w:val="00E801FD"/>
    <w:rsid w:val="00E8058A"/>
    <w:rsid w:val="00E811FD"/>
    <w:rsid w:val="00E8280A"/>
    <w:rsid w:val="00E84453"/>
    <w:rsid w:val="00E870F1"/>
    <w:rsid w:val="00E90278"/>
    <w:rsid w:val="00E91E88"/>
    <w:rsid w:val="00E924B8"/>
    <w:rsid w:val="00E927DF"/>
    <w:rsid w:val="00E934A4"/>
    <w:rsid w:val="00E93856"/>
    <w:rsid w:val="00E942A4"/>
    <w:rsid w:val="00E9483C"/>
    <w:rsid w:val="00E97466"/>
    <w:rsid w:val="00E97975"/>
    <w:rsid w:val="00EA2189"/>
    <w:rsid w:val="00EA2A9B"/>
    <w:rsid w:val="00EA355B"/>
    <w:rsid w:val="00EA5235"/>
    <w:rsid w:val="00EA64D7"/>
    <w:rsid w:val="00EB094F"/>
    <w:rsid w:val="00EB1319"/>
    <w:rsid w:val="00EB3985"/>
    <w:rsid w:val="00EB4252"/>
    <w:rsid w:val="00EB50A6"/>
    <w:rsid w:val="00EB6FEA"/>
    <w:rsid w:val="00EB702A"/>
    <w:rsid w:val="00EB75B1"/>
    <w:rsid w:val="00EC05D0"/>
    <w:rsid w:val="00EC23B0"/>
    <w:rsid w:val="00EC27C9"/>
    <w:rsid w:val="00EC3C6A"/>
    <w:rsid w:val="00EC462A"/>
    <w:rsid w:val="00EC66F6"/>
    <w:rsid w:val="00ED04B0"/>
    <w:rsid w:val="00ED04DF"/>
    <w:rsid w:val="00ED1002"/>
    <w:rsid w:val="00ED15B5"/>
    <w:rsid w:val="00ED2F14"/>
    <w:rsid w:val="00ED4A2B"/>
    <w:rsid w:val="00ED6728"/>
    <w:rsid w:val="00EE1338"/>
    <w:rsid w:val="00EE1DB2"/>
    <w:rsid w:val="00EE3ADF"/>
    <w:rsid w:val="00EE50ED"/>
    <w:rsid w:val="00EE6D3A"/>
    <w:rsid w:val="00EE74FE"/>
    <w:rsid w:val="00EE7A94"/>
    <w:rsid w:val="00EF37DA"/>
    <w:rsid w:val="00EF3BA8"/>
    <w:rsid w:val="00EF3CFD"/>
    <w:rsid w:val="00EF6D59"/>
    <w:rsid w:val="00EF7957"/>
    <w:rsid w:val="00F00089"/>
    <w:rsid w:val="00F017E8"/>
    <w:rsid w:val="00F02620"/>
    <w:rsid w:val="00F0524A"/>
    <w:rsid w:val="00F12D23"/>
    <w:rsid w:val="00F14CFB"/>
    <w:rsid w:val="00F16116"/>
    <w:rsid w:val="00F167A8"/>
    <w:rsid w:val="00F16DAA"/>
    <w:rsid w:val="00F208CA"/>
    <w:rsid w:val="00F21225"/>
    <w:rsid w:val="00F225A8"/>
    <w:rsid w:val="00F22B21"/>
    <w:rsid w:val="00F2389B"/>
    <w:rsid w:val="00F23F73"/>
    <w:rsid w:val="00F2462E"/>
    <w:rsid w:val="00F25D9B"/>
    <w:rsid w:val="00F26D98"/>
    <w:rsid w:val="00F30783"/>
    <w:rsid w:val="00F32A69"/>
    <w:rsid w:val="00F337F3"/>
    <w:rsid w:val="00F356B4"/>
    <w:rsid w:val="00F35BD9"/>
    <w:rsid w:val="00F35FF8"/>
    <w:rsid w:val="00F3611E"/>
    <w:rsid w:val="00F36575"/>
    <w:rsid w:val="00F37FEE"/>
    <w:rsid w:val="00F4061A"/>
    <w:rsid w:val="00F40C60"/>
    <w:rsid w:val="00F41E17"/>
    <w:rsid w:val="00F44FC0"/>
    <w:rsid w:val="00F471C8"/>
    <w:rsid w:val="00F472D3"/>
    <w:rsid w:val="00F510F4"/>
    <w:rsid w:val="00F523D0"/>
    <w:rsid w:val="00F55232"/>
    <w:rsid w:val="00F56251"/>
    <w:rsid w:val="00F60787"/>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223F"/>
    <w:rsid w:val="00F9420E"/>
    <w:rsid w:val="00F94782"/>
    <w:rsid w:val="00F9584B"/>
    <w:rsid w:val="00F95A02"/>
    <w:rsid w:val="00F97123"/>
    <w:rsid w:val="00F9749E"/>
    <w:rsid w:val="00F97A75"/>
    <w:rsid w:val="00FA3D8E"/>
    <w:rsid w:val="00FA41C9"/>
    <w:rsid w:val="00FA708F"/>
    <w:rsid w:val="00FA740D"/>
    <w:rsid w:val="00FA7592"/>
    <w:rsid w:val="00FA75F9"/>
    <w:rsid w:val="00FB0312"/>
    <w:rsid w:val="00FB1E04"/>
    <w:rsid w:val="00FB201C"/>
    <w:rsid w:val="00FB22FE"/>
    <w:rsid w:val="00FB6615"/>
    <w:rsid w:val="00FC0852"/>
    <w:rsid w:val="00FC12F8"/>
    <w:rsid w:val="00FC38FF"/>
    <w:rsid w:val="00FC6414"/>
    <w:rsid w:val="00FC6EE9"/>
    <w:rsid w:val="00FD23A6"/>
    <w:rsid w:val="00FD3424"/>
    <w:rsid w:val="00FD37DA"/>
    <w:rsid w:val="00FD3ED3"/>
    <w:rsid w:val="00FD5E06"/>
    <w:rsid w:val="00FE2FE7"/>
    <w:rsid w:val="00FE4049"/>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207A"/>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numPr>
        <w:ilvl w:val="1"/>
        <w:numId w:val="14"/>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numPr>
        <w:ilvl w:val="2"/>
        <w:numId w:val="14"/>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4721D9"/>
    <w:pPr>
      <w:keepNext/>
      <w:keepLines/>
      <w:numPr>
        <w:ilvl w:val="3"/>
        <w:numId w:val="14"/>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721D9"/>
    <w:pPr>
      <w:keepNext/>
      <w:keepLines/>
      <w:numPr>
        <w:ilvl w:val="4"/>
        <w:numId w:val="14"/>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721D9"/>
    <w:pPr>
      <w:keepNext/>
      <w:keepLines/>
      <w:numPr>
        <w:ilvl w:val="5"/>
        <w:numId w:val="14"/>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721D9"/>
    <w:pPr>
      <w:keepNext/>
      <w:keepLines/>
      <w:numPr>
        <w:ilvl w:val="6"/>
        <w:numId w:val="14"/>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721D9"/>
    <w:pPr>
      <w:keepNext/>
      <w:keepLines/>
      <w:numPr>
        <w:ilvl w:val="7"/>
        <w:numId w:val="1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D9"/>
    <w:pPr>
      <w:keepNext/>
      <w:keepLines/>
      <w:numPr>
        <w:ilvl w:val="8"/>
        <w:numId w:val="1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7C3072"/>
    <w:pPr>
      <w:keepNext/>
      <w:jc w:val="center"/>
    </w:pPr>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4"/>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 w:type="paragraph" w:customStyle="1" w:styleId="TU-TableBullet">
    <w:name w:val="TU-Table Bullet"/>
    <w:basedOn w:val="TB-TableBody"/>
    <w:qFormat/>
    <w:rsid w:val="00B61EB1"/>
    <w:pPr>
      <w:numPr>
        <w:numId w:val="6"/>
      </w:numPr>
      <w:spacing w:line="200" w:lineRule="atLeast"/>
    </w:pPr>
    <w:rPr>
      <w:rFonts w:eastAsia="SimSun"/>
    </w:rPr>
  </w:style>
  <w:style w:type="paragraph" w:customStyle="1" w:styleId="TU2-TableBullet2">
    <w:name w:val="TU2-Table Bullet 2"/>
    <w:basedOn w:val="TU-TableBullet"/>
    <w:rsid w:val="00B61EB1"/>
    <w:pPr>
      <w:numPr>
        <w:ilvl w:val="1"/>
      </w:numPr>
    </w:pPr>
  </w:style>
  <w:style w:type="paragraph" w:customStyle="1" w:styleId="TU3-TableBullet3">
    <w:name w:val="TU3-Table Bullet 3"/>
    <w:basedOn w:val="TU2-TableBullet2"/>
    <w:rsid w:val="00B61EB1"/>
    <w:pPr>
      <w:numPr>
        <w:ilvl w:val="2"/>
      </w:numPr>
    </w:pPr>
    <w:rPr>
      <w:lang w:eastAsia="ja-JP"/>
    </w:rPr>
  </w:style>
  <w:style w:type="paragraph" w:customStyle="1" w:styleId="TU4-TableBullet4">
    <w:name w:val="TU4-Table Bullet 4"/>
    <w:basedOn w:val="TU3-TableBullet3"/>
    <w:qFormat/>
    <w:rsid w:val="00B61EB1"/>
    <w:pPr>
      <w:numPr>
        <w:ilvl w:val="3"/>
      </w:numPr>
      <w:tabs>
        <w:tab w:val="left" w:pos="1116"/>
      </w:tabs>
    </w:pPr>
  </w:style>
  <w:style w:type="paragraph" w:customStyle="1" w:styleId="Observation">
    <w:name w:val="Observation"/>
    <w:basedOn w:val="ListParagraph"/>
    <w:next w:val="Normal"/>
    <w:link w:val="ObservationChar"/>
    <w:autoRedefine/>
    <w:qFormat/>
    <w:rsid w:val="00ED04B0"/>
    <w:pPr>
      <w:numPr>
        <w:numId w:val="8"/>
      </w:numPr>
      <w:spacing w:before="240" w:after="240" w:line="360" w:lineRule="auto"/>
    </w:pPr>
    <w:rPr>
      <w:b/>
      <w:sz w:val="22"/>
    </w:rPr>
  </w:style>
  <w:style w:type="character" w:customStyle="1" w:styleId="ObservationChar">
    <w:name w:val="Observation Char"/>
    <w:basedOn w:val="B-BodyChar"/>
    <w:link w:val="Observation"/>
    <w:rsid w:val="00ED04B0"/>
    <w:rPr>
      <w:rFonts w:ascii="Times New Roman" w:eastAsia="Times New Roman" w:hAnsi="Times New Roman"/>
      <w:b/>
      <w:sz w:val="22"/>
      <w:lang w:val="en-GB"/>
    </w:rPr>
  </w:style>
  <w:style w:type="paragraph" w:customStyle="1" w:styleId="Proposal">
    <w:name w:val="Proposal"/>
    <w:basedOn w:val="ListParagraph"/>
    <w:link w:val="ProposalChar"/>
    <w:qFormat/>
    <w:rsid w:val="00ED04B0"/>
    <w:pPr>
      <w:numPr>
        <w:numId w:val="12"/>
      </w:numPr>
      <w:spacing w:before="240" w:after="240" w:line="360" w:lineRule="auto"/>
      <w:ind w:left="0" w:firstLine="0"/>
    </w:pPr>
    <w:rPr>
      <w:b/>
    </w:rPr>
  </w:style>
  <w:style w:type="character" w:customStyle="1" w:styleId="ProposalChar">
    <w:name w:val="Proposal Char"/>
    <w:basedOn w:val="DefaultParagraphFont"/>
    <w:link w:val="Proposal"/>
    <w:rsid w:val="00ED04B0"/>
    <w:rPr>
      <w:rFonts w:ascii="Times New Roman" w:eastAsia="Times New Roman" w:hAnsi="Times New Roman"/>
      <w:b/>
      <w:lang w:val="en-GB"/>
    </w:rPr>
  </w:style>
  <w:style w:type="paragraph" w:styleId="TOC1">
    <w:name w:val="toc 1"/>
    <w:basedOn w:val="Normal"/>
    <w:next w:val="Normal"/>
    <w:autoRedefine/>
    <w:uiPriority w:val="39"/>
    <w:unhideWhenUsed/>
    <w:rsid w:val="00A52A8A"/>
    <w:pPr>
      <w:spacing w:after="100"/>
    </w:pPr>
  </w:style>
  <w:style w:type="character" w:customStyle="1" w:styleId="Heading4Char">
    <w:name w:val="Heading 4 Char"/>
    <w:basedOn w:val="DefaultParagraphFont"/>
    <w:link w:val="Heading4"/>
    <w:uiPriority w:val="9"/>
    <w:semiHidden/>
    <w:rsid w:val="004721D9"/>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4721D9"/>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4721D9"/>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4721D9"/>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4721D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721D9"/>
    <w:rPr>
      <w:rFonts w:asciiTheme="majorHAnsi" w:eastAsiaTheme="majorEastAsia" w:hAnsiTheme="majorHAnsi" w:cstheme="majorBidi"/>
      <w:i/>
      <w:iCs/>
      <w:color w:val="272727" w:themeColor="text1" w:themeTint="D8"/>
      <w:sz w:val="21"/>
      <w:szCs w:val="21"/>
      <w:lang w:val="en-GB"/>
    </w:rPr>
  </w:style>
  <w:style w:type="paragraph" w:customStyle="1" w:styleId="CRCoverPage">
    <w:name w:val="CR Cover Page"/>
    <w:link w:val="CRCoverPageZchn"/>
    <w:rsid w:val="00494B27"/>
    <w:pPr>
      <w:spacing w:after="120"/>
    </w:pPr>
    <w:rPr>
      <w:rFonts w:ascii="Arial" w:eastAsia="Times New Roman" w:hAnsi="Arial"/>
      <w:lang w:val="en-GB"/>
    </w:rPr>
  </w:style>
  <w:style w:type="character" w:customStyle="1" w:styleId="CRCoverPageZchn">
    <w:name w:val="CR Cover Page Zchn"/>
    <w:link w:val="CRCoverPage"/>
    <w:locked/>
    <w:rsid w:val="00494B27"/>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6.xml><?xml version="1.0" encoding="utf-8"?>
<ds:datastoreItem xmlns:ds="http://schemas.openxmlformats.org/officeDocument/2006/customXml" ds:itemID="{532CBCF7-ABAE-4644-B605-2448D096E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1</Pages>
  <Words>1321</Words>
  <Characters>7533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User;Vinosh James;Alberto Rico Alvarino</dc:creator>
  <cp:keywords/>
  <dc:description/>
  <cp:lastModifiedBy>Umesh Phuyal</cp:lastModifiedBy>
  <cp:revision>131</cp:revision>
  <dcterms:created xsi:type="dcterms:W3CDTF">2017-03-22T04:26:00Z</dcterms:created>
  <dcterms:modified xsi:type="dcterms:W3CDTF">2017-09-29T03:45:00Z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